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EDF5" w14:textId="77777777" w:rsidR="00611CFC" w:rsidRPr="00773BFF" w:rsidRDefault="00611CFC" w:rsidP="00F97390">
      <w:pPr>
        <w:suppressAutoHyphens w:val="0"/>
        <w:ind w:firstLine="709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7290B737" w14:textId="3FAB44BF" w:rsidR="00611CFC" w:rsidRPr="00773BFF" w:rsidRDefault="00611CFC" w:rsidP="006C1B57">
      <w:pPr>
        <w:suppressAutoHyphens w:val="0"/>
        <w:jc w:val="center"/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  <w:t>CIRCULAR N</w:t>
      </w:r>
      <w:r w:rsidR="00035661" w:rsidRPr="00773BFF"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  <w:t>°</w:t>
      </w:r>
      <w:r w:rsidR="001372A2" w:rsidRPr="00773BFF"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  <w:t>16</w:t>
      </w:r>
      <w:r w:rsidR="007F35CE" w:rsidRPr="00773BFF"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  <w:t>4</w:t>
      </w:r>
      <w:r w:rsidRPr="00773BFF"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  <w:t>-2025</w:t>
      </w:r>
    </w:p>
    <w:p w14:paraId="2E73409B" w14:textId="77777777" w:rsidR="00F97390" w:rsidRPr="00773BFF" w:rsidRDefault="00F97390" w:rsidP="00F97390">
      <w:pPr>
        <w:suppressAutoHyphens w:val="0"/>
        <w:jc w:val="both"/>
        <w:rPr>
          <w:rFonts w:ascii="Arial Narrow" w:eastAsia="Calibri" w:hAnsi="Arial Narrow"/>
          <w:bCs/>
          <w:color w:val="000000"/>
          <w:kern w:val="2"/>
          <w:lang w:val="pt-PT" w:eastAsia="en-US"/>
          <w14:ligatures w14:val="standardContextual"/>
        </w:rPr>
      </w:pPr>
    </w:p>
    <w:p w14:paraId="411E27EB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Asunto: Importancia de la verificación y seguimiento por parte de las jefaturas respecto a las capacitaciones del personal a su cargo.</w:t>
      </w:r>
    </w:p>
    <w:p w14:paraId="3CEE3458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4F6A1C13" w14:textId="34C3D587" w:rsidR="006C1B57" w:rsidRDefault="007F35CE" w:rsidP="006C1B57">
      <w:pPr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A TODAS LAS OFICINAS Y DESPACHOS JUDICIALES DEL PAÍS</w:t>
      </w:r>
    </w:p>
    <w:p w14:paraId="195AE2DF" w14:textId="59CE0386" w:rsidR="007F35CE" w:rsidRPr="00773BFF" w:rsidRDefault="007F35CE" w:rsidP="006C1B57">
      <w:pPr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SE LES HACE SABER QUE:</w:t>
      </w:r>
    </w:p>
    <w:p w14:paraId="4EBE42C1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7413B35D" w14:textId="21D3D569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El Consejo Superior en sesión N°74-2025 celebrada el 14 de agosto de 2025, artículo LII, </w:t>
      </w:r>
      <w:r w:rsidR="00773BFF"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a solicitud de la Contraloría de Servicios del Poder Judicial  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acordó, en el marco de la implementación del Modelo Integral de Atención al Público y reconociendo la importancia estratégica de contar con personal servidor judicial capacitado y actualizado, instruir a las jefaturas de oficinas y despachos del país a fortalecer sus prácticas de seguimiento en materia de formación y desarrollo profesional, especialmente en temas de atención y trato a la persona usuaria. </w:t>
      </w:r>
    </w:p>
    <w:p w14:paraId="32D4DB0A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2AE3E9F9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Con este fin, se dispone lo siguiente: </w:t>
      </w:r>
    </w:p>
    <w:p w14:paraId="0493B90C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322EAEB1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1-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ab/>
        <w:t xml:space="preserve">Verificación y control de las necesidades de capacitación </w:t>
      </w:r>
    </w:p>
    <w:p w14:paraId="43F09205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Las jefaturas deberán realizar, al menos una vez al año, una revisión formal de los registros de capacitación del personal a su cargo, con el objetivo de detectar necesidades formativas en temas de atención y trato. Para ello, se podrá revisar la “Consulta de Actividades de Capacitación” disponible en la página web de Gestión de la Capacitación de la Dirección de Gestión Humana: https://ghcapacitacion.poder-judicial.go.cr/index.php/historico-cursos-virtuales </w:t>
      </w:r>
    </w:p>
    <w:p w14:paraId="7F1E9BDC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544E4327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2-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ab/>
        <w:t xml:space="preserve">Identificación y gestión proactiva de necesidades formativas </w:t>
      </w:r>
    </w:p>
    <w:p w14:paraId="59730F4D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Con base en los resultados de la verificación anterior, considere relevante lo siguiente:</w:t>
      </w:r>
    </w:p>
    <w:p w14:paraId="2E1ED889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•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ab/>
        <w:t>El cumplimiento del Programa Básico de Formación Judicial (PBFJ) y demás cursos obligatorios. Consulte los cursos obligatorios aquí: Dirección de Gestión Humana, Gestión de la Capacitación - Preguntas Frecuentes | Gestión de la Capacitación - Poder Judicial Costa Rica</w:t>
      </w:r>
    </w:p>
    <w:p w14:paraId="7065D842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0E2649AD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•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ab/>
        <w:t>La aprobación del Programa de Acceso a la Justicia, el cual promueve una mejor comprensión de las personas usuarias en condición de vulnerabilidad. Revise los detalles de este programa en este enlace: Dirección de Gestión Humana, Gestión de la Capacitación - Oferta de Cursos Virtuales | Gestión de la Capacitación - Poder Judicial Costa Rica</w:t>
      </w:r>
    </w:p>
    <w:p w14:paraId="0A62B800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08399692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•</w:t>
      </w: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ab/>
        <w:t xml:space="preserve">La retroalimentación obtenida a partir de procesos como las evaluaciones de desempeño, las observaciones del equipo de trabajo, las quejas institucionales o las áreas de mejora detectadas. </w:t>
      </w:r>
    </w:p>
    <w:p w14:paraId="245205DB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79B7597A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Las jefaturas deberán gestionar proactivamente las necesidades de capacitación identificadas, en articulación con los mecanismos y programas disponibles a nivel institucional. Tome en consideración que las instancias de capacitación divulgan una oferta constante de actividades formativas que pueden apoyarle en ese proceso de desarrollo y fortalecimiento de competencias orientadas a la atención y trato al público en las personas servidoras a su cargo.</w:t>
      </w:r>
    </w:p>
    <w:p w14:paraId="09F0A2FF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Revise la oferta de actividades formativas de la Dirección de Gestión Humana en este enlace: Dirección de Gestión Humana, Gestión de la Capacitación - Oferta de Cursos Virtuales | Gestión de la Capacitación - Poder Judicial Costa Rica </w:t>
      </w:r>
    </w:p>
    <w:p w14:paraId="6FA9C5E8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5F1A5B1A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3-Solicitud de actividades formativas</w:t>
      </w:r>
    </w:p>
    <w:p w14:paraId="4F2509D2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1125DE2C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Puede utilizar las solicitudes que Gestión de la Capacitación tiene disponibles en su página web: Dirección de Gestión Humana, Gestión de la Capacitación - Solicitudes, para solicitar la capacitación disponible o que considere necesaria.</w:t>
      </w:r>
    </w:p>
    <w:p w14:paraId="74C8FCC5" w14:textId="77777777" w:rsidR="007F35CE" w:rsidRPr="00773BFF" w:rsidRDefault="007F35CE" w:rsidP="007F35CE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599E7A6E" w14:textId="5D961A02" w:rsidR="00611CFC" w:rsidRPr="00773BFF" w:rsidRDefault="007F35CE" w:rsidP="007F35CE">
      <w:pPr>
        <w:jc w:val="both"/>
        <w:rPr>
          <w:rFonts w:ascii="Arial Narrow" w:hAnsi="Arial Narrow"/>
          <w:bCs/>
          <w:lang w:val="es-CR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Tome en consideración que la respuesta dependerá de los recursos disponibles, sin embargo; puede aprovechar la oferta virtual disponible y las opciones que esta oficina ya tiene para generar su estrategia de promoción de la capacitación del personal a su cargo en temas de atención al público</w:t>
      </w:r>
      <w:r w:rsidR="001372A2"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.</w:t>
      </w:r>
    </w:p>
    <w:p w14:paraId="343EA625" w14:textId="77777777" w:rsidR="00611CFC" w:rsidRPr="00773BFF" w:rsidRDefault="00611CFC" w:rsidP="00F97390">
      <w:pPr>
        <w:jc w:val="both"/>
        <w:rPr>
          <w:rFonts w:ascii="Arial Narrow" w:hAnsi="Arial Narrow"/>
          <w:bCs/>
          <w:lang w:val="es-CR"/>
        </w:rPr>
      </w:pPr>
    </w:p>
    <w:p w14:paraId="2F1D5EDE" w14:textId="77777777" w:rsidR="00611CFC" w:rsidRPr="00773BFF" w:rsidRDefault="00611CFC" w:rsidP="00F97390">
      <w:pPr>
        <w:jc w:val="both"/>
        <w:rPr>
          <w:rFonts w:ascii="Arial Narrow" w:hAnsi="Arial Narrow"/>
          <w:bCs/>
          <w:lang w:eastAsia="zh-CN"/>
        </w:rPr>
      </w:pPr>
      <w:r w:rsidRPr="00773BFF">
        <w:rPr>
          <w:rFonts w:ascii="Arial Narrow" w:hAnsi="Arial Narrow"/>
          <w:bCs/>
        </w:rPr>
        <w:t>Publíquese una sola vez en el Boletín Judicial.</w:t>
      </w:r>
    </w:p>
    <w:p w14:paraId="14CD2AF1" w14:textId="77777777" w:rsidR="00611CFC" w:rsidRPr="00773BFF" w:rsidRDefault="00611CFC" w:rsidP="00F97390">
      <w:pPr>
        <w:jc w:val="both"/>
        <w:rPr>
          <w:rFonts w:ascii="Arial Narrow" w:hAnsi="Arial Narrow"/>
          <w:bCs/>
          <w:lang w:eastAsia="zh-CN"/>
        </w:rPr>
      </w:pPr>
    </w:p>
    <w:p w14:paraId="1DF50D2F" w14:textId="030AE65F" w:rsidR="00611CFC" w:rsidRPr="00773BFF" w:rsidRDefault="00611CFC" w:rsidP="00F97390">
      <w:pPr>
        <w:suppressAutoHyphens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San José, 26 de agosto de 2025.</w:t>
      </w:r>
    </w:p>
    <w:p w14:paraId="4EB4D408" w14:textId="77777777" w:rsidR="0091645E" w:rsidRPr="00773BFF" w:rsidRDefault="0091645E" w:rsidP="00F97390">
      <w:pPr>
        <w:suppressAutoHyphens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5D078F4D" w14:textId="77777777" w:rsidR="00611CFC" w:rsidRDefault="00611CFC" w:rsidP="00F97390">
      <w:pPr>
        <w:suppressAutoHyphens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48FDD580" w14:textId="77777777" w:rsidR="006C1B57" w:rsidRPr="00773BFF" w:rsidRDefault="006C1B57" w:rsidP="00F97390">
      <w:pPr>
        <w:suppressAutoHyphens w:val="0"/>
        <w:autoSpaceDE w:val="0"/>
        <w:autoSpaceDN w:val="0"/>
        <w:adjustRightInd w:val="0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061164E7" w14:textId="77777777" w:rsidR="00611CFC" w:rsidRPr="00773BFF" w:rsidRDefault="00611CFC" w:rsidP="006C1B57">
      <w:pPr>
        <w:suppressAutoHyphens w:val="0"/>
        <w:autoSpaceDE w:val="0"/>
        <w:autoSpaceDN w:val="0"/>
        <w:adjustRightInd w:val="0"/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6458A2EB" w14:textId="73A8DC3E" w:rsidR="00611CFC" w:rsidRPr="00773BFF" w:rsidRDefault="00611CFC" w:rsidP="006C1B57">
      <w:pPr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Lic. Carlos Toscano Mora Rodríguez</w:t>
      </w:r>
    </w:p>
    <w:p w14:paraId="376F09A2" w14:textId="77777777" w:rsidR="00611CFC" w:rsidRPr="00773BFF" w:rsidRDefault="00611CFC" w:rsidP="006C1B57">
      <w:pPr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Subsecretario General interino</w:t>
      </w:r>
    </w:p>
    <w:p w14:paraId="39D153C9" w14:textId="77777777" w:rsidR="00611CFC" w:rsidRPr="00773BFF" w:rsidRDefault="00611CFC" w:rsidP="006C1B57">
      <w:pPr>
        <w:jc w:val="center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Corte Suprema de Justicia</w:t>
      </w:r>
    </w:p>
    <w:p w14:paraId="2E8807E2" w14:textId="77777777" w:rsidR="00611CFC" w:rsidRPr="00773BFF" w:rsidRDefault="00611CFC" w:rsidP="00F97390">
      <w:pPr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</w:p>
    <w:p w14:paraId="48CB0220" w14:textId="4AF30BB7" w:rsidR="00611CFC" w:rsidRPr="00773BFF" w:rsidRDefault="00611CFC" w:rsidP="00035661">
      <w:pPr>
        <w:pStyle w:val="NormalWeb"/>
        <w:spacing w:before="0" w:after="0"/>
        <w:jc w:val="both"/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</w:pPr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Diligencias: 12887-2024 / 8667-2025</w:t>
      </w:r>
      <w:r w:rsidR="00035661"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 xml:space="preserve"> / </w:t>
      </w:r>
      <w:proofErr w:type="spellStart"/>
      <w:r w:rsidRPr="00773BFF">
        <w:rPr>
          <w:rFonts w:ascii="Arial Narrow" w:eastAsia="Calibri" w:hAnsi="Arial Narrow"/>
          <w:bCs/>
          <w:color w:val="000000"/>
          <w:kern w:val="2"/>
          <w:lang w:val="es-CR" w:eastAsia="en-US"/>
          <w14:ligatures w14:val="standardContextual"/>
        </w:rPr>
        <w:t>fjiménez</w:t>
      </w:r>
      <w:proofErr w:type="spellEnd"/>
    </w:p>
    <w:sectPr w:rsidR="00611CFC" w:rsidRPr="00773B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FC"/>
    <w:rsid w:val="00012AD4"/>
    <w:rsid w:val="0002349C"/>
    <w:rsid w:val="00035661"/>
    <w:rsid w:val="00110E1A"/>
    <w:rsid w:val="001372A2"/>
    <w:rsid w:val="001728A8"/>
    <w:rsid w:val="001879C0"/>
    <w:rsid w:val="001C3C4C"/>
    <w:rsid w:val="0020593A"/>
    <w:rsid w:val="00292689"/>
    <w:rsid w:val="002D6347"/>
    <w:rsid w:val="002F4BFC"/>
    <w:rsid w:val="003533B3"/>
    <w:rsid w:val="00394385"/>
    <w:rsid w:val="003B3F0E"/>
    <w:rsid w:val="003D0F61"/>
    <w:rsid w:val="003F424F"/>
    <w:rsid w:val="00403D1B"/>
    <w:rsid w:val="00443B9E"/>
    <w:rsid w:val="00497415"/>
    <w:rsid w:val="0055466E"/>
    <w:rsid w:val="00555493"/>
    <w:rsid w:val="00583521"/>
    <w:rsid w:val="005D02E3"/>
    <w:rsid w:val="00611CFC"/>
    <w:rsid w:val="0065225C"/>
    <w:rsid w:val="006C1B57"/>
    <w:rsid w:val="006D2866"/>
    <w:rsid w:val="00706182"/>
    <w:rsid w:val="00773BFF"/>
    <w:rsid w:val="007E6B24"/>
    <w:rsid w:val="007F35CE"/>
    <w:rsid w:val="0081172E"/>
    <w:rsid w:val="00830F15"/>
    <w:rsid w:val="008B51B9"/>
    <w:rsid w:val="009015A9"/>
    <w:rsid w:val="0091645E"/>
    <w:rsid w:val="00925FE1"/>
    <w:rsid w:val="00A55CC4"/>
    <w:rsid w:val="00A65964"/>
    <w:rsid w:val="00A9590E"/>
    <w:rsid w:val="00AA6522"/>
    <w:rsid w:val="00AD73D4"/>
    <w:rsid w:val="00B72123"/>
    <w:rsid w:val="00B8403C"/>
    <w:rsid w:val="00C11CD2"/>
    <w:rsid w:val="00C54B60"/>
    <w:rsid w:val="00D07303"/>
    <w:rsid w:val="00DA3979"/>
    <w:rsid w:val="00DB37E7"/>
    <w:rsid w:val="00E43330"/>
    <w:rsid w:val="00ED22B0"/>
    <w:rsid w:val="00EE7C47"/>
    <w:rsid w:val="00F35A10"/>
    <w:rsid w:val="00F839BB"/>
    <w:rsid w:val="00F9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78D1"/>
  <w15:chartTrackingRefBased/>
  <w15:docId w15:val="{B7AFC24D-CA9F-4380-B73E-46EDE8F2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1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C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C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C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C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C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C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C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C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C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C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CF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ar"/>
    <w:uiPriority w:val="99"/>
    <w:qFormat/>
    <w:rsid w:val="00611CFC"/>
    <w:pPr>
      <w:widowControl w:val="0"/>
      <w:spacing w:before="100" w:after="100"/>
    </w:pPr>
    <w:rPr>
      <w:rFonts w:eastAsia="Arial Unicode MS"/>
      <w:kern w:val="1"/>
      <w:lang w:val="es-ES_tradnl" w:eastAsia="es-CR"/>
    </w:rPr>
  </w:style>
  <w:style w:type="character" w:customStyle="1" w:styleId="NormalWebCar">
    <w:name w:val="Normal (Web) Car"/>
    <w:link w:val="NormalWeb"/>
    <w:uiPriority w:val="99"/>
    <w:qFormat/>
    <w:locked/>
    <w:rsid w:val="00611CFC"/>
    <w:rPr>
      <w:rFonts w:ascii="Times New Roman" w:eastAsia="Arial Unicode MS" w:hAnsi="Times New Roman" w:cs="Times New Roman"/>
      <w:kern w:val="1"/>
      <w:sz w:val="24"/>
      <w:szCs w:val="24"/>
      <w:lang w:val="es-ES_tradnl"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C5A9-7727-4285-AE26-7F28C529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Jiménez</dc:creator>
  <cp:keywords/>
  <dc:description/>
  <cp:lastModifiedBy>Xinia Diaz</cp:lastModifiedBy>
  <cp:revision>6</cp:revision>
  <cp:lastPrinted>2025-08-29T14:01:00Z</cp:lastPrinted>
  <dcterms:created xsi:type="dcterms:W3CDTF">2025-08-26T17:15:00Z</dcterms:created>
  <dcterms:modified xsi:type="dcterms:W3CDTF">2025-09-03T21:46:00Z</dcterms:modified>
</cp:coreProperties>
</file>