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C3DE" w14:textId="0A1C32DD" w:rsidR="00CA5402" w:rsidRPr="00F034C3" w:rsidRDefault="00CA5402" w:rsidP="00CA5402">
      <w:pPr>
        <w:shd w:val="clear" w:color="auto" w:fill="FFFFFF"/>
        <w:ind w:left="851" w:right="851"/>
        <w:jc w:val="center"/>
        <w:rPr>
          <w:rFonts w:ascii="Arial Narrow" w:eastAsia="Calibri" w:hAnsi="Arial Narrow" w:cs="Calibri"/>
          <w:color w:val="000000"/>
          <w:sz w:val="24"/>
          <w:szCs w:val="24"/>
          <w:lang w:val="es-419"/>
        </w:rPr>
      </w:pPr>
      <w:r w:rsidRPr="00F034C3">
        <w:rPr>
          <w:rFonts w:ascii="Arial Narrow" w:eastAsia="Calibri" w:hAnsi="Arial Narrow"/>
          <w:color w:val="000000"/>
          <w:sz w:val="24"/>
          <w:szCs w:val="24"/>
          <w:shd w:val="clear" w:color="auto" w:fill="FFFFFF"/>
          <w:lang w:val="es-ES"/>
        </w:rPr>
        <w:t xml:space="preserve">CIRCULAR No. </w:t>
      </w:r>
      <w:r w:rsidR="00F73AD7">
        <w:rPr>
          <w:rFonts w:ascii="Arial Narrow" w:eastAsia="Calibri" w:hAnsi="Arial Narrow"/>
          <w:color w:val="000000"/>
          <w:sz w:val="24"/>
          <w:szCs w:val="24"/>
          <w:shd w:val="clear" w:color="auto" w:fill="FFFFFF"/>
          <w:lang w:val="es-ES"/>
        </w:rPr>
        <w:t>137</w:t>
      </w:r>
      <w:r w:rsidRPr="00F034C3">
        <w:rPr>
          <w:rFonts w:ascii="Arial Narrow" w:eastAsia="Calibri" w:hAnsi="Arial Narrow"/>
          <w:color w:val="000000"/>
          <w:sz w:val="24"/>
          <w:szCs w:val="24"/>
          <w:shd w:val="clear" w:color="auto" w:fill="FFFFFF"/>
          <w:lang w:val="es-ES"/>
        </w:rPr>
        <w:t>-202</w:t>
      </w:r>
      <w:r w:rsidR="00831FC9">
        <w:rPr>
          <w:rFonts w:ascii="Arial Narrow" w:eastAsia="Calibri" w:hAnsi="Arial Narrow"/>
          <w:color w:val="000000"/>
          <w:sz w:val="24"/>
          <w:szCs w:val="24"/>
          <w:shd w:val="clear" w:color="auto" w:fill="FFFFFF"/>
          <w:lang w:val="es-ES"/>
        </w:rPr>
        <w:t>5</w:t>
      </w:r>
    </w:p>
    <w:p w14:paraId="601FEC32" w14:textId="3639E2C8" w:rsidR="00CA5402" w:rsidRPr="00F034C3" w:rsidRDefault="00CA5402" w:rsidP="005C7DDB">
      <w:pPr>
        <w:shd w:val="clear" w:color="auto" w:fill="FFFFFF"/>
        <w:ind w:left="851" w:right="851"/>
        <w:jc w:val="center"/>
        <w:rPr>
          <w:rFonts w:ascii="Arial Narrow" w:eastAsia="Calibri" w:hAnsi="Arial Narrow" w:cs="Calibri"/>
          <w:color w:val="000000"/>
          <w:sz w:val="24"/>
          <w:szCs w:val="24"/>
          <w:lang w:val="es-419"/>
        </w:rPr>
      </w:pPr>
    </w:p>
    <w:p w14:paraId="1BA0CEDF" w14:textId="7F89E92B" w:rsidR="00831FC9" w:rsidRPr="00831FC9" w:rsidRDefault="00CA5402" w:rsidP="00831FC9">
      <w:pPr>
        <w:shd w:val="clear" w:color="auto" w:fill="FFFFFF"/>
        <w:ind w:left="2832" w:right="851"/>
        <w:jc w:val="both"/>
        <w:rPr>
          <w:rFonts w:ascii="Arial Narrow" w:hAnsi="Arial Narrow"/>
          <w:sz w:val="24"/>
          <w:szCs w:val="24"/>
          <w:lang w:val="es-CR" w:eastAsia="es-ES"/>
        </w:rPr>
      </w:pPr>
      <w:r w:rsidRPr="00F034C3">
        <w:rPr>
          <w:rFonts w:ascii="Arial Narrow" w:eastAsia="Calibri" w:hAnsi="Arial Narrow"/>
          <w:sz w:val="24"/>
          <w:szCs w:val="24"/>
          <w:shd w:val="clear" w:color="auto" w:fill="FFFFFF"/>
          <w:lang w:val="es-ES"/>
        </w:rPr>
        <w:t xml:space="preserve">Asunto: </w:t>
      </w:r>
      <w:r w:rsidR="00831FC9">
        <w:rPr>
          <w:rFonts w:ascii="Arial Narrow" w:eastAsia="Calibri" w:hAnsi="Arial Narrow" w:cs="Calibri"/>
          <w:sz w:val="24"/>
          <w:szCs w:val="24"/>
          <w:lang w:val="es-CR"/>
        </w:rPr>
        <w:t>D</w:t>
      </w:r>
      <w:r w:rsidR="00831FC9" w:rsidRPr="00831FC9">
        <w:rPr>
          <w:rFonts w:ascii="Arial Narrow" w:eastAsia="Calibri" w:hAnsi="Arial Narrow" w:cs="Calibri"/>
          <w:sz w:val="24"/>
          <w:szCs w:val="24"/>
          <w:lang w:val="es-CR"/>
        </w:rPr>
        <w:t>esafecta</w:t>
      </w:r>
      <w:r w:rsidR="00831FC9">
        <w:rPr>
          <w:rFonts w:ascii="Arial Narrow" w:eastAsia="Calibri" w:hAnsi="Arial Narrow" w:cs="Calibri"/>
          <w:sz w:val="24"/>
          <w:szCs w:val="24"/>
          <w:lang w:val="es-CR"/>
        </w:rPr>
        <w:t>ción de plazas</w:t>
      </w:r>
      <w:r w:rsidR="00831FC9" w:rsidRPr="00831FC9">
        <w:rPr>
          <w:rFonts w:ascii="Arial Narrow" w:eastAsia="Calibri" w:hAnsi="Arial Narrow" w:cs="Calibri"/>
          <w:sz w:val="24"/>
          <w:szCs w:val="24"/>
          <w:lang w:val="es-CR"/>
        </w:rPr>
        <w:t xml:space="preserve"> de reserva conforme la Ley N°8862 por nombramientos inferiores a tres meses o superiores a este plazo.</w:t>
      </w:r>
    </w:p>
    <w:p w14:paraId="6F5E5310" w14:textId="44D54AC8" w:rsidR="00DE40FE" w:rsidRPr="00F034C3" w:rsidRDefault="00DE40FE" w:rsidP="00831FC9">
      <w:pPr>
        <w:shd w:val="clear" w:color="auto" w:fill="FFFFFF"/>
        <w:ind w:right="851"/>
        <w:jc w:val="both"/>
        <w:rPr>
          <w:rFonts w:ascii="Arial Narrow" w:eastAsia="Calibri" w:hAnsi="Arial Narrow"/>
          <w:color w:val="000000"/>
          <w:sz w:val="24"/>
          <w:szCs w:val="24"/>
          <w:lang w:val="es-ES"/>
        </w:rPr>
      </w:pPr>
    </w:p>
    <w:p w14:paraId="4E83B657" w14:textId="10EAEE3C" w:rsidR="00DE40FE" w:rsidRPr="00F034C3" w:rsidRDefault="00DE40FE" w:rsidP="00F034C3">
      <w:pPr>
        <w:shd w:val="clear" w:color="auto" w:fill="FFFFFF"/>
        <w:ind w:left="851" w:right="851"/>
        <w:jc w:val="center"/>
        <w:rPr>
          <w:rFonts w:ascii="Arial Narrow" w:eastAsia="Calibri" w:hAnsi="Arial Narrow"/>
          <w:color w:val="000000"/>
          <w:sz w:val="24"/>
          <w:szCs w:val="24"/>
          <w:lang w:eastAsia="es-CR"/>
        </w:rPr>
      </w:pPr>
      <w:r w:rsidRPr="00F034C3">
        <w:rPr>
          <w:rFonts w:ascii="Arial Narrow" w:eastAsia="Calibri" w:hAnsi="Arial Narrow"/>
          <w:color w:val="000000"/>
          <w:sz w:val="24"/>
          <w:szCs w:val="24"/>
          <w:lang w:eastAsia="es-CR"/>
        </w:rPr>
        <w:t>A LOS DESPACHOS JUDICIALES DEL PAÍS</w:t>
      </w:r>
    </w:p>
    <w:p w14:paraId="76B156DE" w14:textId="77777777" w:rsidR="00F034C3" w:rsidRPr="00F034C3" w:rsidRDefault="00F034C3" w:rsidP="00F034C3">
      <w:pPr>
        <w:shd w:val="clear" w:color="auto" w:fill="FFFFFF"/>
        <w:ind w:left="851" w:right="851"/>
        <w:jc w:val="center"/>
        <w:rPr>
          <w:rFonts w:ascii="Arial Narrow" w:eastAsia="Calibri" w:hAnsi="Arial Narrow"/>
          <w:color w:val="000000"/>
          <w:sz w:val="24"/>
          <w:szCs w:val="24"/>
          <w:lang w:eastAsia="es-CR"/>
        </w:rPr>
      </w:pPr>
    </w:p>
    <w:p w14:paraId="2DF70258" w14:textId="77777777" w:rsidR="00DE40FE" w:rsidRPr="00F034C3" w:rsidRDefault="00DE40FE" w:rsidP="00DE40FE">
      <w:pPr>
        <w:jc w:val="center"/>
        <w:rPr>
          <w:rFonts w:ascii="Arial Narrow" w:eastAsia="Calibri" w:hAnsi="Arial Narrow"/>
          <w:color w:val="000000"/>
          <w:sz w:val="24"/>
          <w:szCs w:val="24"/>
          <w:lang w:eastAsia="es-CR"/>
        </w:rPr>
      </w:pPr>
      <w:r w:rsidRPr="00F034C3">
        <w:rPr>
          <w:rFonts w:ascii="Arial Narrow" w:eastAsia="Calibri" w:hAnsi="Arial Narrow"/>
          <w:color w:val="000000"/>
          <w:sz w:val="24"/>
          <w:szCs w:val="24"/>
          <w:lang w:eastAsia="es-CR"/>
        </w:rPr>
        <w:t>SE LES HACE SABER QUE:</w:t>
      </w:r>
    </w:p>
    <w:p w14:paraId="250B9561" w14:textId="77777777" w:rsidR="00DE40FE" w:rsidRPr="00F034C3" w:rsidRDefault="00DE40FE" w:rsidP="005C7DDB">
      <w:pPr>
        <w:jc w:val="center"/>
        <w:rPr>
          <w:rFonts w:ascii="Arial Narrow" w:eastAsia="Calibri" w:hAnsi="Arial Narrow"/>
          <w:color w:val="000000"/>
          <w:sz w:val="24"/>
          <w:szCs w:val="24"/>
          <w:lang w:eastAsia="es-CR"/>
        </w:rPr>
      </w:pPr>
    </w:p>
    <w:p w14:paraId="412EE38E" w14:textId="63A4A478" w:rsidR="00831FC9" w:rsidRPr="00831FC9" w:rsidRDefault="005C7DDB" w:rsidP="00831FC9">
      <w:pPr>
        <w:ind w:left="851" w:right="851" w:firstLine="357"/>
        <w:jc w:val="both"/>
        <w:rPr>
          <w:rFonts w:ascii="Arial Narrow" w:eastAsia="Calibri" w:hAnsi="Arial Narrow"/>
          <w:color w:val="000000"/>
          <w:sz w:val="24"/>
          <w:szCs w:val="24"/>
          <w:lang w:val="es-ES"/>
        </w:rPr>
      </w:pPr>
      <w:r w:rsidRPr="00F034C3">
        <w:rPr>
          <w:rFonts w:ascii="Arial Narrow" w:eastAsia="Calibri" w:hAnsi="Arial Narrow"/>
          <w:color w:val="000000"/>
          <w:sz w:val="24"/>
          <w:szCs w:val="24"/>
          <w:lang w:val="es-ES"/>
        </w:rPr>
        <w:t>La</w:t>
      </w:r>
      <w:r w:rsidR="00CA5402" w:rsidRPr="00F034C3">
        <w:rPr>
          <w:rFonts w:ascii="Arial Narrow" w:eastAsia="Calibri" w:hAnsi="Arial Narrow"/>
          <w:color w:val="000000"/>
          <w:sz w:val="24"/>
          <w:szCs w:val="24"/>
          <w:lang w:val="es-ES"/>
        </w:rPr>
        <w:t xml:space="preserve"> Corte Plena en sesión N°</w:t>
      </w:r>
      <w:r w:rsidRPr="00F034C3">
        <w:rPr>
          <w:rFonts w:ascii="Arial Narrow" w:eastAsia="Calibri" w:hAnsi="Arial Narrow"/>
          <w:color w:val="000000"/>
          <w:sz w:val="24"/>
          <w:szCs w:val="24"/>
          <w:lang w:val="es-ES"/>
        </w:rPr>
        <w:t xml:space="preserve"> </w:t>
      </w:r>
      <w:r w:rsidR="00831FC9" w:rsidRPr="00831FC9">
        <w:rPr>
          <w:rFonts w:ascii="Arial Narrow" w:eastAsia="Calibri" w:hAnsi="Arial Narrow"/>
          <w:color w:val="000000"/>
          <w:sz w:val="24"/>
          <w:szCs w:val="24"/>
          <w:lang w:val="es-CR"/>
        </w:rPr>
        <w:t xml:space="preserve">28-2025 celebrada el 16 de junio de 2025, </w:t>
      </w:r>
      <w:r w:rsidR="00831FC9">
        <w:rPr>
          <w:rFonts w:ascii="Arial Narrow" w:eastAsia="Calibri" w:hAnsi="Arial Narrow"/>
          <w:color w:val="000000"/>
          <w:sz w:val="24"/>
          <w:szCs w:val="24"/>
          <w:lang w:val="es-CR"/>
        </w:rPr>
        <w:t>artículo</w:t>
      </w:r>
      <w:r w:rsidR="00B3200B">
        <w:rPr>
          <w:rFonts w:ascii="Arial Narrow" w:eastAsia="Calibri" w:hAnsi="Arial Narrow"/>
          <w:color w:val="000000"/>
          <w:sz w:val="24"/>
          <w:szCs w:val="24"/>
          <w:lang w:val="es-CR"/>
        </w:rPr>
        <w:t xml:space="preserve"> XVII</w:t>
      </w:r>
      <w:r w:rsidR="00CA5402" w:rsidRPr="00F034C3">
        <w:rPr>
          <w:rFonts w:ascii="Arial Narrow" w:eastAsia="Calibri" w:hAnsi="Arial Narrow"/>
          <w:color w:val="000000"/>
          <w:sz w:val="24"/>
          <w:szCs w:val="24"/>
          <w:lang w:val="es-ES"/>
        </w:rPr>
        <w:t>, dispuso</w:t>
      </w:r>
      <w:r w:rsidR="00831FC9">
        <w:rPr>
          <w:rFonts w:ascii="Arial Narrow" w:eastAsia="Calibri" w:hAnsi="Arial Narrow"/>
          <w:color w:val="000000"/>
          <w:sz w:val="24"/>
          <w:szCs w:val="24"/>
          <w:lang w:val="es-CR"/>
        </w:rPr>
        <w:t xml:space="preserve"> t</w:t>
      </w:r>
      <w:r w:rsidR="00831FC9" w:rsidRPr="00831FC9">
        <w:rPr>
          <w:rFonts w:ascii="Arial Narrow" w:eastAsia="Calibri" w:hAnsi="Arial Narrow"/>
          <w:color w:val="000000"/>
          <w:sz w:val="24"/>
          <w:szCs w:val="24"/>
          <w:lang w:val="es-CR"/>
        </w:rPr>
        <w:t>ener por rendido el informe del magistrado Olaso referente a la</w:t>
      </w:r>
      <w:r w:rsidR="00831FC9" w:rsidRPr="00831FC9">
        <w:rPr>
          <w:rFonts w:ascii="Arial Narrow" w:eastAsia="Calibri" w:hAnsi="Arial Narrow"/>
          <w:b/>
          <w:bCs/>
          <w:color w:val="000000"/>
          <w:sz w:val="24"/>
          <w:szCs w:val="24"/>
          <w:lang w:val="es-CR"/>
        </w:rPr>
        <w:t xml:space="preserve"> </w:t>
      </w:r>
      <w:r w:rsidR="00831FC9" w:rsidRPr="00831FC9">
        <w:rPr>
          <w:rFonts w:ascii="Arial Narrow" w:eastAsia="Calibri" w:hAnsi="Arial Narrow"/>
          <w:color w:val="000000"/>
          <w:sz w:val="24"/>
          <w:szCs w:val="24"/>
          <w:lang w:val="es-CR"/>
        </w:rPr>
        <w:t xml:space="preserve">desafectación de plazas para personas con discapacidad conforme la ley N° 8862 de Inclusión y Protección Laboral de personas con discapacidad en el Sector Público, en consecuencia: </w:t>
      </w:r>
    </w:p>
    <w:p w14:paraId="3EDC985A" w14:textId="77777777" w:rsidR="00831FC9" w:rsidRPr="00831FC9" w:rsidRDefault="00831FC9" w:rsidP="00831FC9">
      <w:pPr>
        <w:ind w:left="851" w:right="851" w:firstLine="357"/>
        <w:jc w:val="both"/>
        <w:rPr>
          <w:rFonts w:ascii="Arial Narrow" w:eastAsia="Calibri" w:hAnsi="Arial Narrow"/>
          <w:color w:val="000000"/>
          <w:sz w:val="24"/>
          <w:szCs w:val="24"/>
          <w:lang w:val="es-CR"/>
        </w:rPr>
      </w:pPr>
    </w:p>
    <w:p w14:paraId="2FCD7F66"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w:t>
      </w:r>
    </w:p>
    <w:p w14:paraId="799D4990" w14:textId="77777777" w:rsidR="00831FC9" w:rsidRPr="00831FC9" w:rsidRDefault="00831FC9" w:rsidP="00831FC9">
      <w:pPr>
        <w:ind w:left="851" w:right="851" w:firstLine="357"/>
        <w:jc w:val="both"/>
        <w:rPr>
          <w:rFonts w:ascii="Arial Narrow" w:eastAsia="Calibri" w:hAnsi="Arial Narrow"/>
          <w:b/>
          <w:bCs/>
          <w:color w:val="000000"/>
          <w:sz w:val="24"/>
          <w:szCs w:val="24"/>
          <w:lang w:val="es-ES"/>
        </w:rPr>
      </w:pPr>
    </w:p>
    <w:p w14:paraId="221C0D87"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a.- El nombramiento de una persona sin discapacidad por un plazo menor a tres meses en una plaza de reserva conforme la ley N°8862.</w:t>
      </w:r>
    </w:p>
    <w:p w14:paraId="293FC365" w14:textId="77777777" w:rsidR="00831FC9" w:rsidRPr="00831FC9" w:rsidRDefault="00831FC9" w:rsidP="00831FC9">
      <w:pPr>
        <w:ind w:left="851" w:right="851" w:firstLine="357"/>
        <w:jc w:val="both"/>
        <w:rPr>
          <w:rFonts w:ascii="Arial Narrow" w:eastAsia="Calibri" w:hAnsi="Arial Narrow"/>
          <w:b/>
          <w:bCs/>
          <w:color w:val="000000"/>
          <w:sz w:val="24"/>
          <w:szCs w:val="24"/>
          <w:lang w:val="es-ES"/>
        </w:rPr>
      </w:pPr>
    </w:p>
    <w:p w14:paraId="0E37BAE2"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 xml:space="preserve">En el supuesto que una persona con discapacidad haga uso de su derecho a tomar vacaciones, acepte un ascenso, se le conceda un permiso con o sin goce de salarial, tome una licencia de maternidad o paternidad, deba cumplir una sanción administrativa de hasta 3 meses, se le impongan de medidas cautelares, sea incapacitada o cualquier otro supuesto posible que implique dejar su plaza por un plazo menor a tres meses; la jefatura competente deberá solicitar a la Dirección de Gestión Humana la consulta a la bolsa de personas oferentes con discapacidad. La Dirección de Gestión Humana hará la consulta, según sus procedimientos internos, a las personas oferentes con discapacidad disponibles conforme el perfil de la plaza a nombrar y si, luego de las consultas no existe una persona con discapacidad disponible o idónea, se deberá comunicar al Consejo Superior del Poder Judicial, para que efectúe una resolución administrativa que detalle el proceso realizado y fundamente las razones por las cuales no se está contratando una persona con discapacidad. La resolución debidamente fundamentada, dictada por el Consejo Superior, permitirá la desafectación de la plaza, únicamente por el plazo que dure la ausencia de la persona titular. Esto no derivará derechos subjetivos sobre la plaza reservada a la persona contratada. </w:t>
      </w:r>
    </w:p>
    <w:p w14:paraId="0B0924A1"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p>
    <w:p w14:paraId="78CEF4A0"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 xml:space="preserve">En cualquier momento, la persona con discapacidad titular podrá retornar a su plaza en propiedad. Bajo este supuesto, la jefatura competente notificará de inmediato al Consejo Superior del Poder Judicial y se procederá a la brevedad a la redacción de una resolución administrativa que dejará sin efecto la resolución de desafectación. De esto se notificará a las personas interesadas. </w:t>
      </w:r>
    </w:p>
    <w:p w14:paraId="368B8A8C"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p>
    <w:p w14:paraId="224EF068"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 b.- El nombramiento de una persona sin discapacidad por un plazo mayor a tres meses en una plaza de reserva conforme la ley N°8862.</w:t>
      </w:r>
    </w:p>
    <w:p w14:paraId="49698D90" w14:textId="77777777" w:rsidR="00831FC9" w:rsidRPr="00831FC9" w:rsidRDefault="00831FC9" w:rsidP="00831FC9">
      <w:pPr>
        <w:ind w:left="851" w:right="851" w:firstLine="357"/>
        <w:jc w:val="both"/>
        <w:rPr>
          <w:rFonts w:ascii="Arial Narrow" w:eastAsia="Calibri" w:hAnsi="Arial Narrow"/>
          <w:b/>
          <w:bCs/>
          <w:color w:val="000000"/>
          <w:sz w:val="24"/>
          <w:szCs w:val="24"/>
          <w:lang w:val="es-ES"/>
        </w:rPr>
      </w:pPr>
    </w:p>
    <w:p w14:paraId="7168A799"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 xml:space="preserve">En el supuesto que una persona con discapacidad haga uso de su derecho a tomar vacaciones, acepte un ascenso, se le conceda un permiso con o sin goce salarial, tome una licencia de maternidad o paternidad, deba cumplir una sanción administrativa, se le impongan medidas cautelares, sea incapacitada o cualquier otro supuesto posible que implique dejar su plaza por un plazo mayor a tres meses o con plazo indefinido, la jefatura competente notificará de inmediato al Consejo Superior para que, en un plazo razonable, se solicite a la Dirección de Gestión Humana la consulta, según sus procedimientos internos, a las personas oferentes con discapacidad disponibles conforme el perfil de la plaza a nombrar, de no existir personas oferentes disponibles o idóneas, se notificará de inmediato al Consejo Superior para que se proceda con la desafectación de la plaza en cuestión. El acuerdo deberá indicar las razones por las cuales se desafectará la plaza y se contratará a una persona sin discapacidad. </w:t>
      </w:r>
    </w:p>
    <w:p w14:paraId="56F29410"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p>
    <w:p w14:paraId="332710D7"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 xml:space="preserve">En cualquier momento, la persona con discapacidad titular podrá volver a su plaza en propiedad. En este supuesto, la jefatura competente notificará de inmediato al Consejo Superior con copia a la Dirección de Gestión Humana y se notificará a las personas interesadas. </w:t>
      </w:r>
    </w:p>
    <w:p w14:paraId="7CBDD893"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p>
    <w:p w14:paraId="6BE6E99F" w14:textId="2CA0386F"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3.</w:t>
      </w:r>
      <w:r w:rsidRPr="00831FC9">
        <w:rPr>
          <w:rFonts w:ascii="Arial Narrow" w:eastAsia="Calibri" w:hAnsi="Arial Narrow"/>
          <w:b/>
          <w:bCs/>
          <w:color w:val="000000"/>
          <w:sz w:val="24"/>
          <w:szCs w:val="24"/>
          <w:lang w:val="es-ES"/>
        </w:rPr>
        <w:t xml:space="preserve"> </w:t>
      </w:r>
      <w:r w:rsidRPr="00831FC9">
        <w:rPr>
          <w:rFonts w:ascii="Arial Narrow" w:eastAsia="Calibri" w:hAnsi="Arial Narrow"/>
          <w:color w:val="000000"/>
          <w:sz w:val="24"/>
          <w:szCs w:val="24"/>
          <w:lang w:val="es-ES"/>
        </w:rPr>
        <w:t>Para gestionar la desafectación de una plaza para persona con discapacidad, se adjunta una propuesta de plantilla con los requisitos mínimos</w:t>
      </w:r>
      <w:r w:rsidRPr="00831FC9">
        <w:rPr>
          <w:rFonts w:ascii="Arial Narrow" w:eastAsia="Calibri" w:hAnsi="Arial Narrow"/>
          <w:b/>
          <w:bCs/>
          <w:color w:val="000000"/>
          <w:sz w:val="24"/>
          <w:szCs w:val="24"/>
          <w:lang w:val="es-ES"/>
        </w:rPr>
        <w:t xml:space="preserve"> </w:t>
      </w:r>
      <w:r w:rsidRPr="00831FC9">
        <w:rPr>
          <w:rFonts w:ascii="Arial Narrow" w:eastAsia="Calibri" w:hAnsi="Arial Narrow"/>
          <w:color w:val="000000"/>
          <w:sz w:val="24"/>
          <w:szCs w:val="24"/>
          <w:lang w:val="es-ES"/>
        </w:rPr>
        <w:t>que debe incluir la solicitud.</w:t>
      </w:r>
      <w:r w:rsidRPr="00831FC9">
        <w:rPr>
          <w:rFonts w:ascii="Arial Narrow" w:eastAsia="Calibri" w:hAnsi="Arial Narrow"/>
          <w:b/>
          <w:bCs/>
          <w:color w:val="000000"/>
          <w:sz w:val="24"/>
          <w:szCs w:val="24"/>
          <w:lang w:val="es-ES"/>
        </w:rPr>
        <w:t xml:space="preserve"> </w:t>
      </w:r>
      <w:r w:rsidRPr="00831FC9">
        <w:rPr>
          <w:rFonts w:ascii="Arial Narrow" w:eastAsia="Calibri" w:hAnsi="Arial Narrow"/>
          <w:color w:val="000000"/>
          <w:sz w:val="24"/>
          <w:szCs w:val="24"/>
          <w:lang w:val="es-ES"/>
        </w:rPr>
        <w:t>En todo caso, el acto administrativo de desafectación estará sujeto a condición resolutiva y fenecerá de pleno derecho al momento del regreso del titular -doctrina del artículo 132 inciso 4 de la Ley General de la Administración Pública-.</w:t>
      </w:r>
    </w:p>
    <w:p w14:paraId="149D6BDB" w14:textId="4A1DF046" w:rsidR="00831FC9" w:rsidRPr="00831FC9" w:rsidRDefault="00831FC9" w:rsidP="00831FC9">
      <w:pPr>
        <w:ind w:left="851" w:right="851" w:firstLine="357"/>
        <w:jc w:val="both"/>
        <w:rPr>
          <w:rFonts w:ascii="Arial Narrow" w:eastAsia="Calibri" w:hAnsi="Arial Narrow"/>
          <w:color w:val="000000"/>
          <w:sz w:val="24"/>
          <w:szCs w:val="24"/>
          <w:lang w:val="es-ES"/>
        </w:rPr>
      </w:pPr>
    </w:p>
    <w:bookmarkStart w:id="0" w:name="_MON_1811044775"/>
    <w:bookmarkEnd w:id="0"/>
    <w:p w14:paraId="763F6408" w14:textId="462D083A" w:rsidR="00831FC9" w:rsidRPr="00831FC9" w:rsidRDefault="00831FC9" w:rsidP="00831FC9">
      <w:pPr>
        <w:ind w:left="851" w:right="851" w:firstLine="357"/>
        <w:jc w:val="both"/>
        <w:rPr>
          <w:rFonts w:ascii="Arial Narrow" w:eastAsia="Calibri" w:hAnsi="Arial Narrow"/>
          <w:color w:val="000000"/>
          <w:sz w:val="24"/>
          <w:szCs w:val="24"/>
          <w:lang w:val="es-ES"/>
        </w:rPr>
      </w:pPr>
      <w:r>
        <w:rPr>
          <w:sz w:val="24"/>
          <w:szCs w:val="24"/>
        </w:rPr>
        <w:object w:dxaOrig="1508" w:dyaOrig="984" w14:anchorId="79978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4" o:title=""/>
          </v:shape>
          <o:OLEObject Type="Embed" ProgID="Word.Document.12" ShapeID="_x0000_i1025" DrawAspect="Icon" ObjectID="_1815551433" r:id="rId5">
            <o:FieldCodes>\s</o:FieldCodes>
          </o:OLEObject>
        </w:object>
      </w:r>
    </w:p>
    <w:tbl>
      <w:tblPr>
        <w:tblW w:w="9518" w:type="dxa"/>
        <w:tblCellSpacing w:w="15" w:type="dxa"/>
        <w:tblCellMar>
          <w:left w:w="0" w:type="dxa"/>
          <w:right w:w="0" w:type="dxa"/>
        </w:tblCellMar>
        <w:tblLook w:val="04A0" w:firstRow="1" w:lastRow="0" w:firstColumn="1" w:lastColumn="0" w:noHBand="0" w:noVBand="1"/>
      </w:tblPr>
      <w:tblGrid>
        <w:gridCol w:w="9518"/>
      </w:tblGrid>
      <w:tr w:rsidR="00831FC9" w:rsidRPr="00831FC9" w14:paraId="4A2BBD17" w14:textId="77777777" w:rsidTr="00831FC9">
        <w:trPr>
          <w:trHeight w:val="1835"/>
          <w:tblCellSpacing w:w="15" w:type="dxa"/>
        </w:trPr>
        <w:tc>
          <w:tcPr>
            <w:tcW w:w="9458" w:type="dxa"/>
            <w:vAlign w:val="center"/>
            <w:hideMark/>
          </w:tcPr>
          <w:p w14:paraId="78ED7EF0" w14:textId="77777777" w:rsidR="00831FC9" w:rsidRPr="00831FC9" w:rsidRDefault="00831FC9" w:rsidP="00831FC9">
            <w:pPr>
              <w:ind w:left="851" w:right="851" w:firstLine="357"/>
              <w:jc w:val="both"/>
              <w:rPr>
                <w:rFonts w:ascii="Arial Narrow" w:eastAsia="Calibri" w:hAnsi="Arial Narrow"/>
                <w:color w:val="000000"/>
                <w:sz w:val="24"/>
                <w:szCs w:val="24"/>
                <w:lang w:val="es-ES"/>
              </w:rPr>
            </w:pPr>
            <w:r w:rsidRPr="00831FC9">
              <w:rPr>
                <w:rFonts w:ascii="Arial Narrow" w:eastAsia="Calibri" w:hAnsi="Arial Narrow"/>
                <w:color w:val="000000"/>
                <w:sz w:val="24"/>
                <w:szCs w:val="24"/>
                <w:lang w:val="es-ES"/>
              </w:rPr>
              <w:t xml:space="preserve">4. En el supuesto que deba desafectarse de manera permanente la plaza de reserva debido a que la persona titular no regresará a su puesto en propiedad y que no existan oferentes idóneos conforme la Ley N°8862, se seguirá lo establecido en el artículo 10.b del Reglamento a la Ley de Inclusión y Protección Laboral de las Personas con Discapacidad en el Sector Público N.º 36462-MP-MTSS: </w:t>
            </w:r>
          </w:p>
        </w:tc>
      </w:tr>
    </w:tbl>
    <w:p w14:paraId="0B01F799" w14:textId="77777777" w:rsidR="00831FC9" w:rsidRPr="00F73AD7" w:rsidRDefault="00831FC9" w:rsidP="00831FC9">
      <w:pPr>
        <w:ind w:left="851" w:right="851" w:firstLine="357"/>
        <w:jc w:val="both"/>
        <w:rPr>
          <w:rFonts w:ascii="Arial Narrow" w:eastAsia="Calibri" w:hAnsi="Arial Narrow"/>
          <w:color w:val="000000"/>
          <w:sz w:val="24"/>
          <w:szCs w:val="24"/>
          <w:lang w:val="es-ES"/>
        </w:rPr>
      </w:pPr>
      <w:r w:rsidRPr="00F73AD7">
        <w:rPr>
          <w:rFonts w:ascii="Arial Narrow" w:eastAsia="Calibri" w:hAnsi="Arial Narrow"/>
          <w:color w:val="000000"/>
          <w:sz w:val="24"/>
          <w:szCs w:val="24"/>
          <w:lang w:val="es-ES"/>
        </w:rPr>
        <w:t>Artículo 10.-Casos de excepción. Se exceptúa a las instituciones del Sector Público de la aplicación del presente Reglamento, cuando la institución se halle en los siguientes supuestos:</w:t>
      </w:r>
    </w:p>
    <w:p w14:paraId="65844CB2" w14:textId="77777777" w:rsidR="00831FC9" w:rsidRPr="00F73AD7" w:rsidRDefault="00831FC9" w:rsidP="00831FC9">
      <w:pPr>
        <w:ind w:left="851" w:right="851" w:firstLine="357"/>
        <w:jc w:val="both"/>
        <w:rPr>
          <w:rFonts w:ascii="Arial Narrow" w:eastAsia="Calibri" w:hAnsi="Arial Narrow"/>
          <w:color w:val="000000"/>
          <w:sz w:val="24"/>
          <w:szCs w:val="24"/>
          <w:lang w:val="es-ES"/>
        </w:rPr>
      </w:pPr>
      <w:r w:rsidRPr="00F73AD7">
        <w:rPr>
          <w:rFonts w:ascii="Arial Narrow" w:eastAsia="Calibri" w:hAnsi="Arial Narrow"/>
          <w:color w:val="000000"/>
          <w:sz w:val="24"/>
          <w:szCs w:val="24"/>
          <w:lang w:val="es-ES"/>
        </w:rPr>
        <w:t>…</w:t>
      </w:r>
    </w:p>
    <w:p w14:paraId="1F7F37A3" w14:textId="77777777" w:rsidR="00831FC9" w:rsidRPr="00F73AD7" w:rsidRDefault="00831FC9" w:rsidP="00831FC9">
      <w:pPr>
        <w:ind w:left="851" w:right="851" w:firstLine="357"/>
        <w:jc w:val="both"/>
        <w:rPr>
          <w:rFonts w:ascii="Arial Narrow" w:eastAsia="Calibri" w:hAnsi="Arial Narrow"/>
          <w:color w:val="000000"/>
          <w:sz w:val="24"/>
          <w:szCs w:val="24"/>
          <w:lang w:val="es-ES"/>
        </w:rPr>
      </w:pPr>
      <w:r w:rsidRPr="00F73AD7">
        <w:rPr>
          <w:rFonts w:ascii="Arial Narrow" w:eastAsia="Calibri" w:hAnsi="Arial Narrow"/>
          <w:color w:val="000000"/>
          <w:sz w:val="24"/>
          <w:szCs w:val="24"/>
          <w:lang w:val="es-ES"/>
        </w:rPr>
        <w:t xml:space="preserve">b) En caso de que no existieran personas candidatas para llenar los puestos reservados, mediante el Registro de Elegibles Paralelo de la Dirección General del Servicio Civil, las bases internas institucionales, el Sistema Nacional de Empleo o el registro interno construido para este fin por las instituciones, estos puestos podrán ser retirados de la reserva y ser sustituidos por puestos de la misma clase, </w:t>
      </w:r>
      <w:r w:rsidRPr="00F73AD7">
        <w:rPr>
          <w:rFonts w:ascii="Arial Narrow" w:eastAsia="Calibri" w:hAnsi="Arial Narrow"/>
          <w:color w:val="000000"/>
          <w:sz w:val="24"/>
          <w:szCs w:val="24"/>
          <w:lang w:val="es-ES"/>
        </w:rPr>
        <w:lastRenderedPageBreak/>
        <w:t>mediante resolución administrativa razonada que deberá ser publicada y comunicada a la Dirección Nacional de Seguridad Social del MTSS y a la Dirección General de Servicio Civil.</w:t>
      </w:r>
    </w:p>
    <w:p w14:paraId="6E861C10" w14:textId="77777777" w:rsidR="00831FC9" w:rsidRPr="00F73AD7" w:rsidRDefault="00831FC9" w:rsidP="00831FC9">
      <w:pPr>
        <w:ind w:left="851" w:right="851" w:firstLine="357"/>
        <w:jc w:val="both"/>
        <w:rPr>
          <w:rFonts w:ascii="Arial Narrow" w:eastAsia="Calibri" w:hAnsi="Arial Narrow"/>
          <w:color w:val="000000"/>
          <w:sz w:val="24"/>
          <w:szCs w:val="24"/>
          <w:lang w:val="es-ES"/>
        </w:rPr>
      </w:pPr>
    </w:p>
    <w:p w14:paraId="29EF8654" w14:textId="77777777" w:rsidR="00831FC9" w:rsidRPr="00F73AD7" w:rsidRDefault="00831FC9" w:rsidP="00831FC9">
      <w:pPr>
        <w:ind w:left="851" w:right="851" w:firstLine="357"/>
        <w:jc w:val="both"/>
        <w:rPr>
          <w:rFonts w:ascii="Arial Narrow" w:eastAsia="Calibri" w:hAnsi="Arial Narrow"/>
          <w:color w:val="000000"/>
          <w:sz w:val="24"/>
          <w:szCs w:val="24"/>
          <w:lang w:val="es-ES"/>
        </w:rPr>
      </w:pPr>
      <w:r w:rsidRPr="00F73AD7">
        <w:rPr>
          <w:rFonts w:ascii="Arial Narrow" w:eastAsia="Calibri" w:hAnsi="Arial Narrow"/>
          <w:color w:val="000000"/>
          <w:sz w:val="24"/>
          <w:szCs w:val="24"/>
          <w:lang w:val="es-ES"/>
        </w:rPr>
        <w:t>5.-</w:t>
      </w:r>
      <w:r w:rsidRPr="00F73AD7">
        <w:rPr>
          <w:rFonts w:ascii="Arial Narrow" w:eastAsia="Calibri" w:hAnsi="Arial Narrow"/>
          <w:b/>
          <w:bCs/>
          <w:color w:val="000000"/>
          <w:sz w:val="24"/>
          <w:szCs w:val="24"/>
          <w:lang w:val="es-ES"/>
        </w:rPr>
        <w:t xml:space="preserve"> </w:t>
      </w:r>
      <w:r w:rsidRPr="00F73AD7">
        <w:rPr>
          <w:rFonts w:ascii="Arial Narrow" w:eastAsia="Calibri" w:hAnsi="Arial Narrow"/>
          <w:color w:val="000000"/>
          <w:sz w:val="24"/>
          <w:szCs w:val="24"/>
          <w:lang w:val="es-ES"/>
        </w:rPr>
        <w:t>Ante la desafectación definitiva de una o varias plazas de reserva, deberá el Consejo Superior en coordinación con la Dirección de Gestión Humana, dentro de sus competencias, velar por que el porcentaje</w:t>
      </w:r>
      <w:r w:rsidRPr="00F73AD7">
        <w:rPr>
          <w:rFonts w:ascii="Arial Narrow" w:eastAsia="Calibri" w:hAnsi="Arial Narrow"/>
          <w:b/>
          <w:bCs/>
          <w:color w:val="000000"/>
          <w:sz w:val="24"/>
          <w:szCs w:val="24"/>
          <w:lang w:val="es-ES"/>
        </w:rPr>
        <w:t xml:space="preserve"> </w:t>
      </w:r>
      <w:r w:rsidRPr="00F73AD7">
        <w:rPr>
          <w:rFonts w:ascii="Arial Narrow" w:eastAsia="Calibri" w:hAnsi="Arial Narrow"/>
          <w:color w:val="000000"/>
          <w:sz w:val="24"/>
          <w:szCs w:val="24"/>
          <w:lang w:val="es-ES"/>
        </w:rPr>
        <w:t xml:space="preserve">de plazas vacantes reservadas se mantenga en el 5% establecido por la ley N°8862. </w:t>
      </w:r>
    </w:p>
    <w:p w14:paraId="6501095F" w14:textId="77777777" w:rsidR="00831FC9" w:rsidRPr="00F73AD7" w:rsidRDefault="00831FC9" w:rsidP="00831FC9">
      <w:pPr>
        <w:ind w:left="851" w:right="851" w:firstLine="357"/>
        <w:jc w:val="both"/>
        <w:rPr>
          <w:rFonts w:ascii="Arial Narrow" w:eastAsia="Calibri" w:hAnsi="Arial Narrow"/>
          <w:color w:val="000000"/>
          <w:sz w:val="24"/>
          <w:szCs w:val="24"/>
          <w:lang w:val="es-CR"/>
        </w:rPr>
      </w:pPr>
    </w:p>
    <w:p w14:paraId="73D17EF0" w14:textId="77777777" w:rsidR="00831FC9" w:rsidRPr="00831FC9" w:rsidRDefault="00831FC9" w:rsidP="00831FC9">
      <w:pPr>
        <w:ind w:left="851" w:right="851" w:firstLine="357"/>
        <w:jc w:val="both"/>
        <w:rPr>
          <w:rFonts w:ascii="Arial Narrow" w:eastAsia="Calibri" w:hAnsi="Arial Narrow"/>
          <w:color w:val="000000"/>
          <w:sz w:val="24"/>
          <w:szCs w:val="24"/>
          <w:lang w:val="es-CR"/>
        </w:rPr>
      </w:pPr>
      <w:r w:rsidRPr="00831FC9">
        <w:rPr>
          <w:rFonts w:ascii="Arial Narrow" w:eastAsia="Calibri" w:hAnsi="Arial Narrow"/>
          <w:color w:val="000000"/>
          <w:sz w:val="24"/>
          <w:szCs w:val="24"/>
          <w:lang w:val="es-CR"/>
        </w:rPr>
        <w:t>(…)</w:t>
      </w:r>
    </w:p>
    <w:p w14:paraId="46FFBFF0" w14:textId="77777777" w:rsidR="00831FC9" w:rsidRPr="00831FC9" w:rsidRDefault="00831FC9" w:rsidP="00831FC9">
      <w:pPr>
        <w:ind w:left="851" w:right="851" w:firstLine="357"/>
        <w:jc w:val="both"/>
        <w:rPr>
          <w:rFonts w:ascii="Arial Narrow" w:eastAsia="Calibri" w:hAnsi="Arial Narrow"/>
          <w:color w:val="000000"/>
          <w:sz w:val="24"/>
          <w:szCs w:val="24"/>
          <w:lang w:val="es-CR"/>
        </w:rPr>
      </w:pPr>
    </w:p>
    <w:p w14:paraId="401D90D9" w14:textId="77777777" w:rsidR="00CA5402" w:rsidRPr="00F034C3" w:rsidRDefault="00CA5402" w:rsidP="00CA5402">
      <w:pPr>
        <w:ind w:left="851" w:right="851"/>
        <w:jc w:val="both"/>
        <w:rPr>
          <w:rFonts w:ascii="Arial Narrow" w:eastAsia="Calibri" w:hAnsi="Arial Narrow" w:cs="Calibri"/>
          <w:color w:val="000000"/>
          <w:sz w:val="24"/>
          <w:szCs w:val="24"/>
          <w:lang w:val="es-419"/>
        </w:rPr>
      </w:pPr>
      <w:r w:rsidRPr="00F034C3">
        <w:rPr>
          <w:rFonts w:ascii="Arial Narrow" w:eastAsia="Calibri" w:hAnsi="Arial Narrow"/>
          <w:color w:val="000000"/>
          <w:sz w:val="24"/>
          <w:szCs w:val="24"/>
          <w:lang w:val="es-419"/>
        </w:rPr>
        <w:t>Publíquese una sola vez en el Boletín Judicial.</w:t>
      </w:r>
    </w:p>
    <w:p w14:paraId="494A9E43" w14:textId="77777777" w:rsidR="00CA5402" w:rsidRPr="00F034C3" w:rsidRDefault="00CA5402" w:rsidP="00CA5402">
      <w:pPr>
        <w:ind w:left="851" w:right="851"/>
        <w:jc w:val="both"/>
        <w:rPr>
          <w:rFonts w:ascii="Arial Narrow" w:eastAsia="Calibri" w:hAnsi="Arial Narrow" w:cs="Calibri"/>
          <w:color w:val="000000"/>
          <w:sz w:val="24"/>
          <w:szCs w:val="24"/>
          <w:lang w:val="es-419"/>
        </w:rPr>
      </w:pPr>
      <w:r w:rsidRPr="00F034C3">
        <w:rPr>
          <w:rFonts w:ascii="Arial Narrow" w:eastAsia="Calibri" w:hAnsi="Arial Narrow"/>
          <w:color w:val="000000"/>
          <w:sz w:val="24"/>
          <w:szCs w:val="24"/>
        </w:rPr>
        <w:t> </w:t>
      </w:r>
    </w:p>
    <w:p w14:paraId="4EA64A7A" w14:textId="17372E86" w:rsidR="00CA5402" w:rsidRPr="00F034C3" w:rsidRDefault="00CA5402" w:rsidP="00CA5402">
      <w:pPr>
        <w:ind w:left="851" w:right="851"/>
        <w:jc w:val="both"/>
        <w:rPr>
          <w:rFonts w:ascii="Arial Narrow" w:eastAsia="Calibri" w:hAnsi="Arial Narrow" w:cs="Calibri"/>
          <w:color w:val="000000"/>
          <w:sz w:val="24"/>
          <w:szCs w:val="24"/>
          <w:lang w:val="es-419"/>
        </w:rPr>
      </w:pPr>
      <w:r w:rsidRPr="00F034C3">
        <w:rPr>
          <w:rFonts w:ascii="Arial Narrow" w:eastAsia="Calibri" w:hAnsi="Arial Narrow"/>
          <w:color w:val="000000"/>
          <w:sz w:val="24"/>
          <w:szCs w:val="24"/>
          <w:lang w:val="es-419"/>
        </w:rPr>
        <w:t xml:space="preserve">San José, </w:t>
      </w:r>
      <w:r w:rsidR="00F73AD7">
        <w:rPr>
          <w:rFonts w:ascii="Arial Narrow" w:eastAsia="Calibri" w:hAnsi="Arial Narrow"/>
          <w:color w:val="000000"/>
          <w:sz w:val="24"/>
          <w:szCs w:val="24"/>
          <w:lang w:val="es-419"/>
        </w:rPr>
        <w:t>15</w:t>
      </w:r>
      <w:r w:rsidR="003A63F7" w:rsidRPr="00F034C3">
        <w:rPr>
          <w:rFonts w:ascii="Arial Narrow" w:eastAsia="Calibri" w:hAnsi="Arial Narrow"/>
          <w:color w:val="000000"/>
          <w:sz w:val="24"/>
          <w:szCs w:val="24"/>
          <w:lang w:val="es-419"/>
        </w:rPr>
        <w:t xml:space="preserve"> </w:t>
      </w:r>
      <w:r w:rsidRPr="00F034C3">
        <w:rPr>
          <w:rFonts w:ascii="Arial Narrow" w:eastAsia="Calibri" w:hAnsi="Arial Narrow"/>
          <w:color w:val="000000"/>
          <w:sz w:val="24"/>
          <w:szCs w:val="24"/>
          <w:lang w:val="es-419"/>
        </w:rPr>
        <w:t>de</w:t>
      </w:r>
      <w:r w:rsidR="00F034C3" w:rsidRPr="00F034C3">
        <w:rPr>
          <w:rFonts w:ascii="Arial Narrow" w:eastAsia="Calibri" w:hAnsi="Arial Narrow"/>
          <w:color w:val="000000"/>
          <w:sz w:val="24"/>
          <w:szCs w:val="24"/>
          <w:lang w:val="es-419"/>
        </w:rPr>
        <w:t xml:space="preserve"> </w:t>
      </w:r>
      <w:r w:rsidR="00B3200B">
        <w:rPr>
          <w:rFonts w:ascii="Arial Narrow" w:eastAsia="Calibri" w:hAnsi="Arial Narrow"/>
          <w:color w:val="000000"/>
          <w:sz w:val="24"/>
          <w:szCs w:val="24"/>
          <w:lang w:val="es-419"/>
        </w:rPr>
        <w:t>julio</w:t>
      </w:r>
      <w:r w:rsidR="00F034C3" w:rsidRPr="00F034C3">
        <w:rPr>
          <w:rFonts w:ascii="Arial Narrow" w:eastAsia="Calibri" w:hAnsi="Arial Narrow"/>
          <w:color w:val="000000"/>
          <w:sz w:val="24"/>
          <w:szCs w:val="24"/>
          <w:lang w:val="es-419"/>
        </w:rPr>
        <w:t xml:space="preserve"> de 202</w:t>
      </w:r>
      <w:r w:rsidR="00B3200B">
        <w:rPr>
          <w:rFonts w:ascii="Arial Narrow" w:eastAsia="Calibri" w:hAnsi="Arial Narrow"/>
          <w:color w:val="000000"/>
          <w:sz w:val="24"/>
          <w:szCs w:val="24"/>
          <w:lang w:val="es-419"/>
        </w:rPr>
        <w:t>5</w:t>
      </w:r>
      <w:r w:rsidRPr="00F034C3">
        <w:rPr>
          <w:rFonts w:ascii="Arial Narrow" w:eastAsia="Calibri" w:hAnsi="Arial Narrow"/>
          <w:color w:val="000000"/>
          <w:sz w:val="24"/>
          <w:szCs w:val="24"/>
          <w:lang w:val="es-419"/>
        </w:rPr>
        <w:t>.</w:t>
      </w:r>
    </w:p>
    <w:p w14:paraId="6D79ACC8" w14:textId="77777777" w:rsidR="00F034C3" w:rsidRPr="00F034C3" w:rsidRDefault="00F034C3" w:rsidP="00CA5402">
      <w:pPr>
        <w:ind w:firstLine="567"/>
        <w:jc w:val="center"/>
        <w:rPr>
          <w:rFonts w:ascii="Arial Narrow" w:eastAsia="Arial Unicode MS" w:hAnsi="Arial Narrow"/>
          <w:kern w:val="1"/>
          <w:sz w:val="24"/>
          <w:szCs w:val="24"/>
          <w:lang w:val="es-ES"/>
        </w:rPr>
      </w:pPr>
    </w:p>
    <w:p w14:paraId="7540C322" w14:textId="77777777" w:rsidR="00F034C3" w:rsidRPr="00F034C3" w:rsidRDefault="00F034C3" w:rsidP="00CA5402">
      <w:pPr>
        <w:ind w:firstLine="567"/>
        <w:jc w:val="center"/>
        <w:rPr>
          <w:rFonts w:ascii="Arial Narrow" w:eastAsia="Arial Unicode MS" w:hAnsi="Arial Narrow"/>
          <w:kern w:val="1"/>
          <w:sz w:val="24"/>
          <w:szCs w:val="24"/>
          <w:lang w:val="es-ES"/>
        </w:rPr>
      </w:pPr>
    </w:p>
    <w:p w14:paraId="435D2234" w14:textId="6FE6686B" w:rsidR="00CA5402" w:rsidRPr="00F034C3" w:rsidRDefault="00CA5402" w:rsidP="00CA5402">
      <w:pPr>
        <w:ind w:firstLine="567"/>
        <w:jc w:val="center"/>
        <w:rPr>
          <w:rFonts w:ascii="Arial Narrow" w:hAnsi="Arial Narrow"/>
          <w:sz w:val="24"/>
          <w:szCs w:val="24"/>
          <w:lang w:val="pt-BR"/>
        </w:rPr>
      </w:pPr>
      <w:r w:rsidRPr="00F034C3">
        <w:rPr>
          <w:rFonts w:ascii="Arial Narrow" w:hAnsi="Arial Narrow"/>
          <w:sz w:val="24"/>
          <w:szCs w:val="24"/>
          <w:lang w:val="pt-BR"/>
        </w:rPr>
        <w:t>Licda. Silvia Navarro Romanini</w:t>
      </w:r>
    </w:p>
    <w:p w14:paraId="66F5F343" w14:textId="77777777" w:rsidR="00CA5402" w:rsidRPr="00F034C3" w:rsidRDefault="00CA5402" w:rsidP="00CA5402">
      <w:pPr>
        <w:ind w:firstLine="567"/>
        <w:jc w:val="center"/>
        <w:rPr>
          <w:rFonts w:ascii="Arial Narrow" w:hAnsi="Arial Narrow"/>
          <w:sz w:val="24"/>
          <w:szCs w:val="24"/>
          <w:lang w:val="pt-BR"/>
        </w:rPr>
      </w:pPr>
      <w:r w:rsidRPr="00F034C3">
        <w:rPr>
          <w:rFonts w:ascii="Arial Narrow" w:hAnsi="Arial Narrow"/>
          <w:sz w:val="24"/>
          <w:szCs w:val="24"/>
          <w:lang w:val="pt-BR"/>
        </w:rPr>
        <w:t>Secretaria General</w:t>
      </w:r>
    </w:p>
    <w:p w14:paraId="3FB728DF" w14:textId="7EE7235F" w:rsidR="00CA5402" w:rsidRDefault="00CA5402" w:rsidP="00F034C3">
      <w:pPr>
        <w:ind w:firstLine="567"/>
        <w:jc w:val="center"/>
        <w:rPr>
          <w:rFonts w:ascii="Arial Narrow" w:hAnsi="Arial Narrow"/>
          <w:sz w:val="24"/>
          <w:szCs w:val="24"/>
          <w:lang w:val="pt-BR"/>
        </w:rPr>
      </w:pPr>
      <w:r w:rsidRPr="00F034C3">
        <w:rPr>
          <w:rFonts w:ascii="Arial Narrow" w:hAnsi="Arial Narrow"/>
          <w:sz w:val="24"/>
          <w:szCs w:val="24"/>
          <w:lang w:val="pt-BR"/>
        </w:rPr>
        <w:t>Corte Suprema de Justicia</w:t>
      </w:r>
    </w:p>
    <w:p w14:paraId="11DB7CA1" w14:textId="77777777" w:rsidR="00B3200B" w:rsidRDefault="00B3200B" w:rsidP="00F034C3">
      <w:pPr>
        <w:ind w:firstLine="567"/>
        <w:jc w:val="center"/>
        <w:rPr>
          <w:rFonts w:ascii="Arial Narrow" w:hAnsi="Arial Narrow"/>
          <w:sz w:val="24"/>
          <w:szCs w:val="24"/>
          <w:lang w:val="pt-BR"/>
        </w:rPr>
      </w:pPr>
    </w:p>
    <w:p w14:paraId="4C2003C5" w14:textId="2B05B1E2" w:rsidR="00B3200B" w:rsidRPr="00B3200B" w:rsidRDefault="00CA5402" w:rsidP="00B3200B">
      <w:pPr>
        <w:rPr>
          <w:rFonts w:ascii="Arial Narrow" w:eastAsia="Arial Unicode MS" w:hAnsi="Arial Narrow"/>
          <w:kern w:val="1"/>
          <w:sz w:val="24"/>
          <w:szCs w:val="24"/>
          <w:lang w:val="pt-BR"/>
        </w:rPr>
      </w:pPr>
      <w:r w:rsidRPr="00F034C3">
        <w:rPr>
          <w:rFonts w:ascii="Arial Narrow" w:eastAsia="Arial Unicode MS" w:hAnsi="Arial Narrow"/>
          <w:kern w:val="1"/>
          <w:sz w:val="24"/>
          <w:szCs w:val="24"/>
          <w:lang w:val="pt-BR"/>
        </w:rPr>
        <w:t>Ref.:</w:t>
      </w:r>
      <w:r w:rsidRPr="00B3200B">
        <w:rPr>
          <w:rFonts w:ascii="Arial Narrow" w:eastAsia="Arial Unicode MS" w:hAnsi="Arial Narrow"/>
          <w:kern w:val="1"/>
          <w:sz w:val="24"/>
          <w:szCs w:val="24"/>
          <w:lang w:val="pt-BR"/>
        </w:rPr>
        <w:t xml:space="preserve"> </w:t>
      </w:r>
      <w:r w:rsidR="00F73AD7">
        <w:rPr>
          <w:rFonts w:ascii="Arial Narrow" w:eastAsia="Arial Unicode MS" w:hAnsi="Arial Narrow"/>
          <w:kern w:val="1"/>
          <w:sz w:val="24"/>
          <w:szCs w:val="24"/>
          <w:lang w:val="pt-BR"/>
        </w:rPr>
        <w:t xml:space="preserve">11074-2022, </w:t>
      </w:r>
      <w:r w:rsidR="00B3200B" w:rsidRPr="00B3200B">
        <w:rPr>
          <w:rFonts w:ascii="Arial Narrow" w:eastAsia="Arial Unicode MS" w:hAnsi="Arial Narrow"/>
          <w:kern w:val="1"/>
          <w:sz w:val="24"/>
          <w:szCs w:val="24"/>
          <w:lang w:val="pt-BR"/>
        </w:rPr>
        <w:t>6681-2025 y 6797-2025</w:t>
      </w:r>
    </w:p>
    <w:p w14:paraId="71450F09" w14:textId="486E5782" w:rsidR="00CA5402" w:rsidRPr="00B3200B" w:rsidRDefault="00CA5402" w:rsidP="00B3200B">
      <w:pPr>
        <w:rPr>
          <w:b/>
          <w:bCs/>
          <w:color w:val="000000"/>
          <w:sz w:val="24"/>
          <w:szCs w:val="24"/>
          <w:shd w:val="clear" w:color="auto" w:fill="FFFFFF"/>
          <w:lang w:val="es-CR"/>
        </w:rPr>
      </w:pPr>
      <w:r w:rsidRPr="00F034C3">
        <w:rPr>
          <w:rFonts w:ascii="Arial Narrow" w:eastAsia="Arial Unicode MS" w:hAnsi="Arial Narrow"/>
          <w:kern w:val="1"/>
          <w:sz w:val="24"/>
          <w:szCs w:val="24"/>
          <w:lang w:val="pt-BR"/>
        </w:rPr>
        <w:t>CCV*</w:t>
      </w:r>
    </w:p>
    <w:p w14:paraId="709CE960" w14:textId="77777777" w:rsidR="008168F0" w:rsidRPr="00F034C3" w:rsidRDefault="008168F0">
      <w:pPr>
        <w:rPr>
          <w:rFonts w:ascii="Arial Narrow" w:hAnsi="Arial Narrow"/>
          <w:sz w:val="24"/>
          <w:szCs w:val="24"/>
        </w:rPr>
      </w:pPr>
    </w:p>
    <w:sectPr w:rsidR="008168F0" w:rsidRPr="00F034C3" w:rsidSect="00FB0212">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02"/>
    <w:rsid w:val="00192151"/>
    <w:rsid w:val="002B1FA0"/>
    <w:rsid w:val="00312B34"/>
    <w:rsid w:val="003A63F7"/>
    <w:rsid w:val="003E2525"/>
    <w:rsid w:val="00467918"/>
    <w:rsid w:val="005C7DDB"/>
    <w:rsid w:val="005F7EED"/>
    <w:rsid w:val="006809B7"/>
    <w:rsid w:val="0069681B"/>
    <w:rsid w:val="008168F0"/>
    <w:rsid w:val="00824F82"/>
    <w:rsid w:val="00831FC9"/>
    <w:rsid w:val="008F5AA6"/>
    <w:rsid w:val="009D1BEE"/>
    <w:rsid w:val="00A0020D"/>
    <w:rsid w:val="00B3200B"/>
    <w:rsid w:val="00BA043A"/>
    <w:rsid w:val="00CA5402"/>
    <w:rsid w:val="00D31388"/>
    <w:rsid w:val="00DE40FE"/>
    <w:rsid w:val="00E75365"/>
    <w:rsid w:val="00F034C3"/>
    <w:rsid w:val="00F11649"/>
    <w:rsid w:val="00F73AD7"/>
    <w:rsid w:val="00FB021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ED670E"/>
  <w15:chartTrackingRefBased/>
  <w15:docId w15:val="{428C05EC-D902-47D1-A68A-B618B0D7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5402"/>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2">
    <w:name w:val="heading 2"/>
    <w:aliases w:val="Títulos de Hallazgo e Introducción"/>
    <w:basedOn w:val="Normal"/>
    <w:next w:val="Textoindependiente"/>
    <w:link w:val="Ttulo2Car"/>
    <w:qFormat/>
    <w:rsid w:val="0069681B"/>
    <w:pPr>
      <w:keepNext/>
      <w:tabs>
        <w:tab w:val="num" w:pos="0"/>
      </w:tabs>
      <w:spacing w:before="120" w:after="120" w:line="480" w:lineRule="auto"/>
      <w:jc w:val="center"/>
      <w:outlineLvl w:val="1"/>
    </w:pPr>
    <w:rPr>
      <w:b/>
      <w:bCs/>
      <w:sz w:val="32"/>
      <w:szCs w:val="28"/>
      <w:u w:val="single"/>
      <w:lang w:val="es-ES"/>
    </w:rPr>
  </w:style>
  <w:style w:type="paragraph" w:styleId="Ttulo3">
    <w:name w:val="heading 3"/>
    <w:aliases w:val="Subtítulos de Hallazgo"/>
    <w:basedOn w:val="Normal"/>
    <w:next w:val="Normal"/>
    <w:link w:val="Ttulo3Car"/>
    <w:uiPriority w:val="9"/>
    <w:qFormat/>
    <w:rsid w:val="0069681B"/>
    <w:pPr>
      <w:keepNext/>
      <w:ind w:firstLine="709"/>
      <w:jc w:val="both"/>
      <w:outlineLvl w:val="2"/>
    </w:pPr>
    <w:rPr>
      <w:rFonts w:cs="Arial"/>
      <w:bCs/>
      <w:color w:val="0000FF"/>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s de Hallazgo e Introducción Car"/>
    <w:basedOn w:val="Fuentedeprrafopredeter"/>
    <w:link w:val="Ttulo2"/>
    <w:qFormat/>
    <w:rsid w:val="0069681B"/>
    <w:rPr>
      <w:rFonts w:ascii="Times New Roman" w:eastAsia="Times New Roman" w:hAnsi="Times New Roman" w:cs="Times New Roman"/>
      <w:b/>
      <w:bCs/>
      <w:sz w:val="32"/>
      <w:szCs w:val="28"/>
      <w:u w:val="single"/>
      <w:lang w:val="es-ES" w:eastAsia="ar-SA"/>
    </w:rPr>
  </w:style>
  <w:style w:type="paragraph" w:styleId="Textoindependiente">
    <w:name w:val="Body Text"/>
    <w:basedOn w:val="Normal"/>
    <w:link w:val="TextoindependienteCar"/>
    <w:uiPriority w:val="99"/>
    <w:semiHidden/>
    <w:unhideWhenUsed/>
    <w:rsid w:val="0069681B"/>
    <w:pPr>
      <w:suppressAutoHyphens w:val="0"/>
      <w:spacing w:after="120" w:line="259" w:lineRule="auto"/>
    </w:pPr>
    <w:rPr>
      <w:rFonts w:asciiTheme="minorHAnsi" w:eastAsiaTheme="minorHAnsi" w:hAnsiTheme="minorHAnsi" w:cstheme="minorBidi"/>
      <w:sz w:val="22"/>
      <w:szCs w:val="22"/>
      <w:lang w:val="es-CR" w:eastAsia="en-US"/>
    </w:rPr>
  </w:style>
  <w:style w:type="character" w:customStyle="1" w:styleId="TextoindependienteCar">
    <w:name w:val="Texto independiente Car"/>
    <w:basedOn w:val="Fuentedeprrafopredeter"/>
    <w:link w:val="Textoindependiente"/>
    <w:uiPriority w:val="99"/>
    <w:semiHidden/>
    <w:rsid w:val="0069681B"/>
  </w:style>
  <w:style w:type="character" w:customStyle="1" w:styleId="Ttulo3Car">
    <w:name w:val="Título 3 Car"/>
    <w:aliases w:val="Subtítulos de Hallazgo Car"/>
    <w:basedOn w:val="Fuentedeprrafopredeter"/>
    <w:link w:val="Ttulo3"/>
    <w:uiPriority w:val="9"/>
    <w:qFormat/>
    <w:rsid w:val="0069681B"/>
    <w:rPr>
      <w:rFonts w:ascii="Times New Roman" w:eastAsia="Times New Roman" w:hAnsi="Times New Roman" w:cs="Arial"/>
      <w:bCs/>
      <w:color w:val="0000FF"/>
      <w:sz w:val="24"/>
      <w:szCs w:val="26"/>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8311">
      <w:bodyDiv w:val="1"/>
      <w:marLeft w:val="0"/>
      <w:marRight w:val="0"/>
      <w:marTop w:val="0"/>
      <w:marBottom w:val="0"/>
      <w:divBdr>
        <w:top w:val="none" w:sz="0" w:space="0" w:color="auto"/>
        <w:left w:val="none" w:sz="0" w:space="0" w:color="auto"/>
        <w:bottom w:val="none" w:sz="0" w:space="0" w:color="auto"/>
        <w:right w:val="none" w:sz="0" w:space="0" w:color="auto"/>
      </w:divBdr>
    </w:div>
    <w:div w:id="309946730">
      <w:bodyDiv w:val="1"/>
      <w:marLeft w:val="0"/>
      <w:marRight w:val="0"/>
      <w:marTop w:val="0"/>
      <w:marBottom w:val="0"/>
      <w:divBdr>
        <w:top w:val="none" w:sz="0" w:space="0" w:color="auto"/>
        <w:left w:val="none" w:sz="0" w:space="0" w:color="auto"/>
        <w:bottom w:val="none" w:sz="0" w:space="0" w:color="auto"/>
        <w:right w:val="none" w:sz="0" w:space="0" w:color="auto"/>
      </w:divBdr>
    </w:div>
    <w:div w:id="675963095">
      <w:bodyDiv w:val="1"/>
      <w:marLeft w:val="0"/>
      <w:marRight w:val="0"/>
      <w:marTop w:val="0"/>
      <w:marBottom w:val="0"/>
      <w:divBdr>
        <w:top w:val="none" w:sz="0" w:space="0" w:color="auto"/>
        <w:left w:val="none" w:sz="0" w:space="0" w:color="auto"/>
        <w:bottom w:val="none" w:sz="0" w:space="0" w:color="auto"/>
        <w:right w:val="none" w:sz="0" w:space="0" w:color="auto"/>
      </w:divBdr>
    </w:div>
    <w:div w:id="863052653">
      <w:bodyDiv w:val="1"/>
      <w:marLeft w:val="0"/>
      <w:marRight w:val="0"/>
      <w:marTop w:val="0"/>
      <w:marBottom w:val="0"/>
      <w:divBdr>
        <w:top w:val="none" w:sz="0" w:space="0" w:color="auto"/>
        <w:left w:val="none" w:sz="0" w:space="0" w:color="auto"/>
        <w:bottom w:val="none" w:sz="0" w:space="0" w:color="auto"/>
        <w:right w:val="none" w:sz="0" w:space="0" w:color="auto"/>
      </w:divBdr>
    </w:div>
    <w:div w:id="1629966031">
      <w:bodyDiv w:val="1"/>
      <w:marLeft w:val="0"/>
      <w:marRight w:val="0"/>
      <w:marTop w:val="0"/>
      <w:marBottom w:val="0"/>
      <w:divBdr>
        <w:top w:val="none" w:sz="0" w:space="0" w:color="auto"/>
        <w:left w:val="none" w:sz="0" w:space="0" w:color="auto"/>
        <w:bottom w:val="none" w:sz="0" w:space="0" w:color="auto"/>
        <w:right w:val="none" w:sz="0" w:space="0" w:color="auto"/>
      </w:divBdr>
    </w:div>
    <w:div w:id="1743526909">
      <w:bodyDiv w:val="1"/>
      <w:marLeft w:val="0"/>
      <w:marRight w:val="0"/>
      <w:marTop w:val="0"/>
      <w:marBottom w:val="0"/>
      <w:divBdr>
        <w:top w:val="none" w:sz="0" w:space="0" w:color="auto"/>
        <w:left w:val="none" w:sz="0" w:space="0" w:color="auto"/>
        <w:bottom w:val="none" w:sz="0" w:space="0" w:color="auto"/>
        <w:right w:val="none" w:sz="0" w:space="0" w:color="auto"/>
      </w:divBdr>
    </w:div>
    <w:div w:id="1772890501">
      <w:bodyDiv w:val="1"/>
      <w:marLeft w:val="0"/>
      <w:marRight w:val="0"/>
      <w:marTop w:val="0"/>
      <w:marBottom w:val="0"/>
      <w:divBdr>
        <w:top w:val="none" w:sz="0" w:space="0" w:color="auto"/>
        <w:left w:val="none" w:sz="0" w:space="0" w:color="auto"/>
        <w:bottom w:val="none" w:sz="0" w:space="0" w:color="auto"/>
        <w:right w:val="none" w:sz="0" w:space="0" w:color="auto"/>
      </w:divBdr>
    </w:div>
    <w:div w:id="204872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5020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Conejo Valverde  (Autorizada/Secretaría General de la Corte)</dc:creator>
  <cp:keywords/>
  <dc:description/>
  <cp:lastModifiedBy>Secretaria General de la Corte - Comunicaciones - Pamela Castro Segura</cp:lastModifiedBy>
  <cp:revision>2</cp:revision>
  <dcterms:created xsi:type="dcterms:W3CDTF">2025-08-01T17:04:00Z</dcterms:created>
  <dcterms:modified xsi:type="dcterms:W3CDTF">2025-08-01T17:04:00Z</dcterms:modified>
</cp:coreProperties>
</file>