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0" w:type="dxa"/>
        <w:tblLayout w:type="fixed"/>
        <w:tblCellMar>
          <w:left w:w="0" w:type="dxa"/>
          <w:right w:w="0" w:type="dxa"/>
        </w:tblCellMar>
        <w:tblLook w:val="04A0" w:firstRow="1" w:lastRow="0" w:firstColumn="1" w:lastColumn="0" w:noHBand="0" w:noVBand="1"/>
      </w:tblPr>
      <w:tblGrid>
        <w:gridCol w:w="1845"/>
        <w:gridCol w:w="8024"/>
      </w:tblGrid>
      <w:tr w:rsidR="00DD7442" w14:paraId="39391BA4" w14:textId="77777777" w:rsidTr="00DD7442">
        <w:trPr>
          <w:trHeight w:val="1483"/>
        </w:trPr>
        <w:tc>
          <w:tcPr>
            <w:tcW w:w="1845" w:type="dxa"/>
            <w:tcMar>
              <w:top w:w="0" w:type="dxa"/>
              <w:left w:w="60" w:type="dxa"/>
              <w:bottom w:w="0" w:type="dxa"/>
              <w:right w:w="60" w:type="dxa"/>
            </w:tcMar>
            <w:hideMark/>
          </w:tcPr>
          <w:p w14:paraId="5D099665" w14:textId="6321B9FF" w:rsidR="00DD7442" w:rsidRDefault="00DD7442">
            <w:pPr>
              <w:spacing w:line="256" w:lineRule="auto"/>
              <w:rPr>
                <w:rFonts w:ascii="Times New Roman" w:eastAsia="Times New Roman" w:hAnsi="Times New Roman" w:cs="Calibri"/>
                <w:szCs w:val="24"/>
              </w:rPr>
            </w:pPr>
            <w:r>
              <w:rPr>
                <w:rFonts w:ascii="Calibri" w:eastAsia="Times New Roman" w:hAnsi="Calibri" w:cs="Calibri"/>
                <w:noProof/>
                <w:sz w:val="24"/>
                <w:szCs w:val="24"/>
              </w:rPr>
              <w:drawing>
                <wp:inline distT="0" distB="0" distL="0" distR="0" wp14:anchorId="1121E98E" wp14:editId="77D9370C">
                  <wp:extent cx="752475" cy="809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noFill/>
                          <a:ln>
                            <a:noFill/>
                          </a:ln>
                        </pic:spPr>
                      </pic:pic>
                    </a:graphicData>
                  </a:graphic>
                </wp:inline>
              </w:drawing>
            </w:r>
          </w:p>
          <w:p w14:paraId="53DB882B" w14:textId="77777777" w:rsidR="00DD7442" w:rsidRDefault="00DD7442">
            <w:pPr>
              <w:spacing w:line="256" w:lineRule="auto"/>
              <w:rPr>
                <w:rFonts w:ascii="Times New Roman" w:eastAsia="Times New Roman" w:hAnsi="Times New Roman" w:cs="Calibri"/>
                <w:szCs w:val="24"/>
              </w:rPr>
            </w:pPr>
            <w:r>
              <w:rPr>
                <w:rFonts w:ascii="Times New Roman" w:eastAsia="Times New Roman" w:hAnsi="Times New Roman" w:cs="Calibri"/>
                <w:b/>
                <w:sz w:val="24"/>
                <w:szCs w:val="24"/>
                <w:lang w:val="en-US"/>
              </w:rPr>
              <w:t>PODER JUDIC</w:t>
            </w:r>
            <w:r>
              <w:rPr>
                <w:rFonts w:ascii="Times New Roman" w:eastAsia="Times New Roman" w:hAnsi="Times New Roman" w:cs="Calibri"/>
                <w:b/>
                <w:sz w:val="24"/>
                <w:szCs w:val="24"/>
              </w:rPr>
              <w:t>IAL</w:t>
            </w:r>
          </w:p>
        </w:tc>
        <w:tc>
          <w:tcPr>
            <w:tcW w:w="8024" w:type="dxa"/>
            <w:tcMar>
              <w:top w:w="0" w:type="dxa"/>
              <w:left w:w="60" w:type="dxa"/>
              <w:bottom w:w="0" w:type="dxa"/>
              <w:right w:w="60" w:type="dxa"/>
            </w:tcMar>
          </w:tcPr>
          <w:p w14:paraId="2803AD8B" w14:textId="77777777" w:rsidR="00DD7442" w:rsidRDefault="00DD7442">
            <w:pPr>
              <w:spacing w:line="256" w:lineRule="auto"/>
              <w:jc w:val="right"/>
              <w:rPr>
                <w:rFonts w:ascii="Times New Roman" w:eastAsia="Times New Roman" w:hAnsi="Times New Roman" w:cs="Calibri"/>
                <w:szCs w:val="24"/>
              </w:rPr>
            </w:pPr>
            <w:r>
              <w:rPr>
                <w:rFonts w:ascii="Calibri" w:hAnsi="Calibri" w:cs="Calibri"/>
                <w:sz w:val="24"/>
                <w:szCs w:val="24"/>
              </w:rPr>
              <w:fldChar w:fldCharType="begin" w:fldLock="1"/>
            </w:r>
            <w:r>
              <w:rPr>
                <w:rFonts w:ascii="Calibri" w:hAnsi="Calibri" w:cs="Calibri"/>
                <w:sz w:val="24"/>
                <w:szCs w:val="24"/>
              </w:rPr>
              <w:instrText xml:space="preserve">MERGEFIELD </w:instrText>
            </w:r>
            <w:r>
              <w:rPr>
                <w:rFonts w:ascii="Times New Roman" w:eastAsia="Times New Roman" w:hAnsi="Times New Roman" w:cs="Calibri"/>
                <w:sz w:val="24"/>
                <w:szCs w:val="24"/>
                <w:lang w:val="es-ES"/>
              </w:rPr>
              <w:instrText>{{{PJV:00000160}}}</w:instrText>
            </w:r>
            <w:r>
              <w:rPr>
                <w:rFonts w:ascii="Calibri" w:hAnsi="Calibri" w:cs="Calibri"/>
                <w:sz w:val="24"/>
                <w:szCs w:val="24"/>
              </w:rPr>
              <w:fldChar w:fldCharType="end"/>
            </w:r>
          </w:p>
          <w:p w14:paraId="302571C2" w14:textId="77777777" w:rsidR="00DD7442" w:rsidRDefault="00DD7442">
            <w:pPr>
              <w:spacing w:line="256" w:lineRule="auto"/>
              <w:jc w:val="center"/>
              <w:rPr>
                <w:rFonts w:ascii="Times New Roman" w:eastAsia="Times New Roman" w:hAnsi="Times New Roman" w:cs="Calibri"/>
                <w:sz w:val="24"/>
                <w:szCs w:val="24"/>
                <w:lang w:val="es-ES"/>
              </w:rPr>
            </w:pPr>
          </w:p>
          <w:p w14:paraId="2789E529" w14:textId="77777777" w:rsidR="00DD7442" w:rsidRDefault="00DD7442">
            <w:pPr>
              <w:spacing w:line="256" w:lineRule="auto"/>
              <w:jc w:val="center"/>
              <w:rPr>
                <w:rFonts w:ascii="Times New Roman" w:eastAsia="Times New Roman" w:hAnsi="Times New Roman" w:cs="Calibri"/>
                <w:sz w:val="24"/>
                <w:szCs w:val="24"/>
                <w:lang w:val="es-ES"/>
              </w:rPr>
            </w:pPr>
          </w:p>
          <w:p w14:paraId="70292CE2" w14:textId="77777777" w:rsidR="00DD7442" w:rsidRDefault="00DD7442">
            <w:pPr>
              <w:spacing w:line="256" w:lineRule="auto"/>
              <w:jc w:val="center"/>
              <w:rPr>
                <w:rFonts w:ascii="Times New Roman" w:eastAsia="Times New Roman" w:hAnsi="Times New Roman" w:cs="Calibri"/>
                <w:sz w:val="24"/>
                <w:szCs w:val="24"/>
                <w:lang w:val="es-ES"/>
              </w:rPr>
            </w:pPr>
          </w:p>
          <w:p w14:paraId="76ABD5E1" w14:textId="77777777" w:rsidR="00DD7442" w:rsidRDefault="00DD7442">
            <w:pPr>
              <w:spacing w:line="256" w:lineRule="auto"/>
              <w:jc w:val="center"/>
              <w:rPr>
                <w:rFonts w:ascii="Times New Roman" w:eastAsia="Times New Roman" w:hAnsi="Times New Roman" w:cs="Calibri"/>
                <w:szCs w:val="24"/>
              </w:rPr>
            </w:pPr>
            <w:r>
              <w:rPr>
                <w:rFonts w:ascii="Times New Roman" w:eastAsia="Times New Roman" w:hAnsi="Times New Roman" w:cs="Calibri"/>
                <w:b/>
                <w:sz w:val="24"/>
                <w:szCs w:val="24"/>
              </w:rPr>
              <w:t>INSPECCIÓN JUDICIAL</w:t>
            </w:r>
          </w:p>
        </w:tc>
      </w:tr>
    </w:tbl>
    <w:p w14:paraId="5EE622A4" w14:textId="77777777" w:rsidR="00DD7442" w:rsidRDefault="00DD7442" w:rsidP="00DD7442">
      <w:pPr>
        <w:pBdr>
          <w:bottom w:val="single" w:sz="12" w:space="0" w:color="000000"/>
        </w:pBdr>
        <w:tabs>
          <w:tab w:val="center" w:pos="4252"/>
          <w:tab w:val="right" w:pos="8504"/>
        </w:tabs>
        <w:rPr>
          <w:rFonts w:ascii="Times New Roman" w:eastAsia="Times New Roman" w:hAnsi="Times New Roman" w:cs="Calibri"/>
          <w:sz w:val="24"/>
          <w:szCs w:val="24"/>
          <w:lang w:val="es-ES_tradnl"/>
        </w:rPr>
      </w:pPr>
    </w:p>
    <w:p w14:paraId="3DCBD308" w14:textId="77777777" w:rsidR="00DD7442" w:rsidRDefault="00DD7442" w:rsidP="00DD7442">
      <w:pPr>
        <w:jc w:val="center"/>
        <w:rPr>
          <w:rFonts w:ascii="Times New Roman" w:eastAsia="Times New Roman" w:hAnsi="Times New Roman" w:cs="Calibri"/>
          <w:b/>
          <w:color w:val="000000"/>
          <w:sz w:val="24"/>
          <w:szCs w:val="24"/>
          <w:u w:val="single"/>
        </w:rPr>
      </w:pPr>
    </w:p>
    <w:p w14:paraId="4F6BB17F" w14:textId="77777777" w:rsidR="00DD7442" w:rsidRDefault="00DD7442" w:rsidP="00DD7442">
      <w:pPr>
        <w:spacing w:line="360" w:lineRule="auto"/>
        <w:jc w:val="center"/>
        <w:rPr>
          <w:rFonts w:ascii="Times New Roman" w:eastAsia="Times New Roman" w:hAnsi="Times New Roman" w:cs="Calibri"/>
          <w:szCs w:val="24"/>
        </w:rPr>
      </w:pPr>
      <w:r>
        <w:rPr>
          <w:rFonts w:ascii="Times New Roman" w:eastAsia="Times New Roman" w:hAnsi="Times New Roman" w:cs="Calibri"/>
          <w:b/>
          <w:sz w:val="24"/>
          <w:szCs w:val="24"/>
          <w:u w:val="single"/>
        </w:rPr>
        <w:t>TRIBUNAL DE LA INSPECCIÓN JUDICIAL</w:t>
      </w:r>
    </w:p>
    <w:p w14:paraId="71853BF0" w14:textId="77777777" w:rsidR="00DD7442" w:rsidRDefault="00DD7442" w:rsidP="00DD7442">
      <w:pPr>
        <w:spacing w:line="360" w:lineRule="auto"/>
        <w:jc w:val="center"/>
        <w:rPr>
          <w:rFonts w:ascii="Times New Roman" w:eastAsia="Times New Roman" w:hAnsi="Times New Roman" w:cs="Calibri"/>
          <w:szCs w:val="24"/>
        </w:rPr>
      </w:pPr>
      <w:r>
        <w:rPr>
          <w:rFonts w:ascii="Times New Roman" w:eastAsia="Times New Roman" w:hAnsi="Times New Roman" w:cs="Calibri"/>
          <w:b/>
          <w:sz w:val="24"/>
          <w:szCs w:val="24"/>
          <w:u w:val="single"/>
        </w:rPr>
        <w:t>CIRCULAR N.º 1</w:t>
      </w:r>
      <w:r>
        <w:rPr>
          <w:rFonts w:ascii="Times New Roman" w:eastAsia="Times New Roman" w:hAnsi="Times New Roman" w:cs="Calibri"/>
          <w:b/>
          <w:sz w:val="24"/>
          <w:szCs w:val="24"/>
          <w:u w:val="single"/>
          <w:lang w:val="es-ES"/>
        </w:rPr>
        <w:t>0</w:t>
      </w:r>
      <w:r>
        <w:rPr>
          <w:rFonts w:ascii="Times New Roman" w:eastAsia="Times New Roman" w:hAnsi="Times New Roman" w:cs="Calibri"/>
          <w:b/>
          <w:sz w:val="24"/>
          <w:szCs w:val="24"/>
          <w:u w:val="single"/>
        </w:rPr>
        <w:t>-2022</w:t>
      </w:r>
    </w:p>
    <w:p w14:paraId="1F59481F" w14:textId="77777777" w:rsidR="00DD7442" w:rsidRDefault="00DD7442" w:rsidP="00DD7442">
      <w:pPr>
        <w:spacing w:line="360" w:lineRule="auto"/>
        <w:jc w:val="center"/>
        <w:rPr>
          <w:rFonts w:ascii="Times New Roman" w:eastAsia="Times New Roman" w:hAnsi="Times New Roman" w:cs="Calibri"/>
          <w:b/>
          <w:sz w:val="24"/>
          <w:szCs w:val="24"/>
          <w:u w:val="single"/>
        </w:rPr>
      </w:pPr>
    </w:p>
    <w:p w14:paraId="3F309053" w14:textId="77777777" w:rsidR="00DD7442" w:rsidRDefault="00DD7442" w:rsidP="00DD7442">
      <w:pPr>
        <w:pStyle w:val="Poromisin"/>
        <w:spacing w:line="360" w:lineRule="auto"/>
        <w:ind w:left="360" w:hanging="360"/>
        <w:jc w:val="right"/>
        <w:rPr>
          <w:rFonts w:ascii="Times New Roman" w:eastAsia="Times New Roman" w:hAnsi="Times New Roman" w:cs="Calibri"/>
          <w:szCs w:val="24"/>
        </w:rPr>
      </w:pPr>
      <w:r>
        <w:rPr>
          <w:rFonts w:ascii="Times New Roman" w:eastAsia="Times New Roman" w:hAnsi="Times New Roman" w:cs="Calibri"/>
          <w:b/>
          <w:sz w:val="24"/>
          <w:szCs w:val="24"/>
          <w:u w:val="single"/>
        </w:rPr>
        <w:t>Asunto</w:t>
      </w:r>
      <w:r>
        <w:rPr>
          <w:rFonts w:ascii="Times New Roman" w:eastAsia="Times New Roman" w:hAnsi="Times New Roman" w:cs="Calibri"/>
          <w:b/>
          <w:sz w:val="24"/>
          <w:szCs w:val="24"/>
        </w:rPr>
        <w:t xml:space="preserve">: </w:t>
      </w:r>
      <w:r>
        <w:rPr>
          <w:rFonts w:ascii="Times New Roman" w:eastAsia="Times New Roman" w:hAnsi="Times New Roman" w:cs="Calibri"/>
          <w:b/>
          <w:color w:val="auto"/>
          <w:sz w:val="24"/>
          <w:szCs w:val="24"/>
        </w:rPr>
        <w:t xml:space="preserve"> </w:t>
      </w:r>
      <w:r>
        <w:rPr>
          <w:rFonts w:ascii="Times New Roman" w:eastAsia="Times New Roman" w:hAnsi="Times New Roman" w:cs="Calibri"/>
          <w:b/>
          <w:sz w:val="24"/>
          <w:szCs w:val="24"/>
        </w:rPr>
        <w:t xml:space="preserve">Trámite a seguir para eliminar documentos. </w:t>
      </w:r>
    </w:p>
    <w:p w14:paraId="451D896F" w14:textId="77777777" w:rsidR="00DD7442" w:rsidRDefault="00DD7442" w:rsidP="00DD7442">
      <w:pPr>
        <w:pStyle w:val="Poromisin"/>
        <w:spacing w:line="360" w:lineRule="auto"/>
        <w:ind w:left="360" w:hanging="360"/>
        <w:jc w:val="right"/>
        <w:rPr>
          <w:rFonts w:ascii="Times New Roman" w:eastAsia="Times New Roman" w:hAnsi="Times New Roman" w:cs="Calibri"/>
          <w:b/>
          <w:color w:val="auto"/>
          <w:sz w:val="24"/>
          <w:szCs w:val="24"/>
          <w:lang w:val="es-CR"/>
        </w:rPr>
      </w:pPr>
    </w:p>
    <w:p w14:paraId="192E3387" w14:textId="77777777" w:rsidR="00DD7442" w:rsidRDefault="00DD7442" w:rsidP="00DD7442">
      <w:pPr>
        <w:spacing w:line="360" w:lineRule="auto"/>
        <w:jc w:val="center"/>
        <w:rPr>
          <w:rFonts w:ascii="Times New Roman" w:eastAsia="Times New Roman" w:hAnsi="Times New Roman" w:cs="Calibri"/>
          <w:szCs w:val="24"/>
        </w:rPr>
      </w:pPr>
      <w:r>
        <w:rPr>
          <w:rFonts w:ascii="Times New Roman" w:eastAsia="Times New Roman" w:hAnsi="Times New Roman" w:cs="Calibri"/>
          <w:b/>
          <w:sz w:val="24"/>
          <w:szCs w:val="24"/>
          <w:u w:val="single"/>
        </w:rPr>
        <w:t xml:space="preserve">AL TODOS EL PERSONAL </w:t>
      </w:r>
    </w:p>
    <w:p w14:paraId="1C7B9178" w14:textId="77777777" w:rsidR="00DD7442" w:rsidRDefault="00DD7442" w:rsidP="00DD7442">
      <w:pPr>
        <w:spacing w:line="360" w:lineRule="auto"/>
        <w:jc w:val="center"/>
        <w:rPr>
          <w:rFonts w:ascii="Times New Roman" w:eastAsia="Times New Roman" w:hAnsi="Times New Roman" w:cs="Calibri"/>
          <w:szCs w:val="24"/>
        </w:rPr>
      </w:pPr>
      <w:r>
        <w:rPr>
          <w:rFonts w:ascii="Times New Roman" w:eastAsia="Times New Roman" w:hAnsi="Times New Roman" w:cs="Calibri"/>
          <w:b/>
          <w:sz w:val="24"/>
          <w:szCs w:val="24"/>
          <w:u w:val="single"/>
        </w:rPr>
        <w:t xml:space="preserve">SE LES HACE SABER QUE: </w:t>
      </w:r>
    </w:p>
    <w:p w14:paraId="4B8870C0" w14:textId="77777777" w:rsidR="00DD7442" w:rsidRDefault="00DD7442" w:rsidP="00DD7442">
      <w:pPr>
        <w:spacing w:line="360" w:lineRule="auto"/>
        <w:jc w:val="center"/>
        <w:rPr>
          <w:rFonts w:ascii="Times New Roman" w:eastAsia="Times New Roman" w:hAnsi="Times New Roman" w:cs="Calibri"/>
          <w:sz w:val="24"/>
          <w:szCs w:val="24"/>
        </w:rPr>
      </w:pPr>
    </w:p>
    <w:p w14:paraId="4C5A4C84" w14:textId="77777777" w:rsidR="00DD7442" w:rsidRDefault="00DD7442" w:rsidP="00DD7442">
      <w:pPr>
        <w:pStyle w:val="Standard"/>
        <w:widowControl/>
        <w:tabs>
          <w:tab w:val="left" w:pos="3266"/>
        </w:tabs>
        <w:spacing w:before="141" w:line="360" w:lineRule="auto"/>
        <w:jc w:val="both"/>
        <w:rPr>
          <w:rFonts w:ascii="Times New Roman" w:eastAsia="Times New Roman" w:hAnsi="Times New Roman" w:cs="Calibri"/>
          <w:color w:val="00000A"/>
          <w:lang w:val="es-ES"/>
        </w:rPr>
      </w:pPr>
      <w:r>
        <w:rPr>
          <w:rFonts w:ascii="Times New Roman" w:eastAsia="Times New Roman" w:hAnsi="Times New Roman" w:cs="Calibri"/>
          <w:color w:val="000000"/>
        </w:rPr>
        <w:t>Con la finalidad de cumplir con las normas de Control Interno</w:t>
      </w:r>
      <w:r>
        <w:rPr>
          <w:rFonts w:ascii="Times New Roman" w:eastAsia="Times New Roman" w:hAnsi="Times New Roman" w:cs="Calibri"/>
          <w:color w:val="000000"/>
          <w:lang w:val="es-ES"/>
        </w:rPr>
        <w:t xml:space="preserve">, </w:t>
      </w:r>
      <w:r>
        <w:rPr>
          <w:rFonts w:ascii="Times New Roman" w:eastAsia="Times New Roman" w:hAnsi="Times New Roman" w:cs="Calibri"/>
          <w:color w:val="000000"/>
        </w:rPr>
        <w:t xml:space="preserve">mantener un orden en la tramitación de las causas </w:t>
      </w:r>
      <w:r>
        <w:rPr>
          <w:rFonts w:ascii="Times New Roman" w:eastAsia="Times New Roman" w:hAnsi="Times New Roman" w:cs="Calibri"/>
          <w:color w:val="000000"/>
          <w:lang w:val="es-ES"/>
        </w:rPr>
        <w:t>incoadas ante</w:t>
      </w:r>
      <w:r>
        <w:rPr>
          <w:rFonts w:ascii="Times New Roman" w:eastAsia="Times New Roman" w:hAnsi="Times New Roman" w:cs="Calibri"/>
          <w:color w:val="000000"/>
        </w:rPr>
        <w:t xml:space="preserve"> este órgano disciplinario </w:t>
      </w:r>
      <w:proofErr w:type="gramStart"/>
      <w:r>
        <w:rPr>
          <w:rFonts w:ascii="Times New Roman" w:eastAsia="Times New Roman" w:hAnsi="Times New Roman" w:cs="Calibri"/>
          <w:color w:val="000000"/>
        </w:rPr>
        <w:t>y</w:t>
      </w:r>
      <w:proofErr w:type="gramEnd"/>
      <w:r>
        <w:rPr>
          <w:rFonts w:ascii="Times New Roman" w:eastAsia="Times New Roman" w:hAnsi="Times New Roman" w:cs="Calibri"/>
          <w:color w:val="000000"/>
        </w:rPr>
        <w:t xml:space="preserve"> </w:t>
      </w:r>
      <w:r>
        <w:rPr>
          <w:rFonts w:ascii="Times New Roman" w:eastAsia="Times New Roman" w:hAnsi="Times New Roman" w:cs="Calibri"/>
          <w:color w:val="000000"/>
          <w:lang w:val="es-ES"/>
        </w:rPr>
        <w:t xml:space="preserve">asimismo, </w:t>
      </w:r>
      <w:r>
        <w:rPr>
          <w:rFonts w:ascii="Times New Roman" w:eastAsia="Times New Roman" w:hAnsi="Times New Roman" w:cs="Calibri"/>
          <w:color w:val="000000"/>
        </w:rPr>
        <w:t>fomentar la transparencia</w:t>
      </w:r>
      <w:r>
        <w:rPr>
          <w:rFonts w:ascii="Times New Roman" w:eastAsia="Times New Roman" w:hAnsi="Times New Roman" w:cs="Calibri"/>
          <w:color w:val="000000"/>
          <w:lang w:val="es-ES"/>
        </w:rPr>
        <w:t>, objetividad</w:t>
      </w:r>
      <w:r>
        <w:rPr>
          <w:rFonts w:ascii="Times New Roman" w:eastAsia="Times New Roman" w:hAnsi="Times New Roman" w:cs="Calibri"/>
          <w:color w:val="000000"/>
        </w:rPr>
        <w:t xml:space="preserve"> y eficacia en las funciones internas de este Tribunal</w:t>
      </w:r>
      <w:r>
        <w:rPr>
          <w:rFonts w:ascii="Times New Roman" w:eastAsia="Times New Roman" w:hAnsi="Times New Roman" w:cs="Calibri"/>
          <w:color w:val="000000"/>
          <w:lang w:val="es-ES"/>
        </w:rPr>
        <w:t xml:space="preserve">. </w:t>
      </w:r>
      <w:r>
        <w:rPr>
          <w:rFonts w:ascii="Times New Roman" w:eastAsia="Times New Roman" w:hAnsi="Times New Roman" w:cs="Calibri"/>
          <w:color w:val="000000"/>
        </w:rPr>
        <w:t>En asocio a las disposiciones del</w:t>
      </w:r>
      <w:r>
        <w:rPr>
          <w:rFonts w:ascii="Times New Roman" w:eastAsia="Times New Roman" w:hAnsi="Times New Roman" w:cs="Calibri"/>
          <w:color w:val="000000"/>
          <w:lang w:val="es-ES"/>
        </w:rPr>
        <w:t xml:space="preserve"> </w:t>
      </w:r>
      <w:r>
        <w:rPr>
          <w:rFonts w:ascii="Times New Roman" w:eastAsia="Times New Roman" w:hAnsi="Times New Roman" w:cs="Calibri"/>
          <w:color w:val="000000"/>
        </w:rPr>
        <w:t xml:space="preserve">ordinal </w:t>
      </w:r>
      <w:r>
        <w:rPr>
          <w:rFonts w:ascii="Times New Roman" w:eastAsia="Times New Roman" w:hAnsi="Times New Roman" w:cs="Calibri"/>
          <w:color w:val="000000"/>
          <w:lang w:val="es-ES"/>
        </w:rPr>
        <w:t>2 del Reglamento sobre el Expediente Judicial Electrónico ante el Poder Judicial,</w:t>
      </w:r>
      <w:r>
        <w:rPr>
          <w:rFonts w:ascii="Times New Roman" w:eastAsia="Times New Roman" w:hAnsi="Times New Roman" w:cs="Calibri"/>
          <w:color w:val="000000"/>
        </w:rPr>
        <w:t xml:space="preserve"> atinente a la validez de las piezas una vez que han sido firmadas, en correlación con el numeral 274 de la Ley General de la Administración Pública respecto al derecho de las partes al acceso de las piezas del expediente. Se dispone, la resolución dictada con evidente error por parte del órgano director del proceso, deberá subsanarse conforme lo dispone la normativa adjetiva por parte de la misma autoridad que incurrió en el error procesal. Asimismo, en los casos en que se estime pertinente la confección de una constancia en atención de los principios de objetividad, transparencia e imparcialidad, será confeccionada por el órgano instructor a cargo del proceso. Así, en atención las disposiciones </w:t>
      </w:r>
      <w:r>
        <w:rPr>
          <w:rFonts w:ascii="Times New Roman" w:eastAsia="Times New Roman" w:hAnsi="Times New Roman" w:cs="Calibri"/>
          <w:color w:val="000000"/>
        </w:rPr>
        <w:lastRenderedPageBreak/>
        <w:t>contenidas en el numeral 8 de la Ley 8292 del treinta y uno de julio de dos mil dos, Ley General de Control Interno</w:t>
      </w:r>
      <w:r>
        <w:rPr>
          <w:rFonts w:ascii="Times New Roman" w:eastAsia="Times New Roman" w:hAnsi="Times New Roman" w:cs="Calibri"/>
          <w:color w:val="00000A"/>
          <w:lang w:val="es-MX"/>
        </w:rPr>
        <w:t xml:space="preserve">, </w:t>
      </w:r>
      <w:r>
        <w:rPr>
          <w:rFonts w:ascii="Times New Roman" w:eastAsia="Times New Roman" w:hAnsi="Times New Roman" w:cs="Calibri"/>
          <w:color w:val="00000A"/>
        </w:rPr>
        <w:t xml:space="preserve">en lo de interés </w:t>
      </w:r>
      <w:r>
        <w:rPr>
          <w:rFonts w:ascii="Times New Roman" w:eastAsia="Times New Roman" w:hAnsi="Times New Roman" w:cs="Calibri"/>
          <w:color w:val="00000A"/>
          <w:lang w:val="es-MX"/>
        </w:rPr>
        <w:t>establece</w:t>
      </w:r>
      <w:r>
        <w:rPr>
          <w:rFonts w:ascii="Times New Roman" w:eastAsia="Times New Roman" w:hAnsi="Times New Roman" w:cs="Calibri"/>
          <w:color w:val="00000A"/>
        </w:rPr>
        <w:t xml:space="preserve">: </w:t>
      </w:r>
    </w:p>
    <w:p w14:paraId="3F364AD4" w14:textId="77777777" w:rsidR="00DD7442" w:rsidRDefault="00DD7442" w:rsidP="00DD7442">
      <w:pPr>
        <w:pStyle w:val="Standard"/>
        <w:widowControl/>
        <w:tabs>
          <w:tab w:val="left" w:pos="3266"/>
        </w:tabs>
        <w:spacing w:before="141" w:line="360" w:lineRule="auto"/>
        <w:ind w:left="568" w:right="568"/>
        <w:jc w:val="both"/>
        <w:rPr>
          <w:rFonts w:ascii="Times New Roman" w:eastAsia="Times New Roman" w:hAnsi="Times New Roman" w:cs="Calibri"/>
          <w:color w:val="000000"/>
        </w:rPr>
      </w:pPr>
      <w:r>
        <w:rPr>
          <w:rFonts w:ascii="Times New Roman" w:eastAsia="Times New Roman" w:hAnsi="Times New Roman" w:cs="Calibri"/>
          <w:color w:val="00000A"/>
        </w:rPr>
        <w:t xml:space="preserve">“Para efectos de esta Ley, se entenderá por sistema de control interno la serie de acciones ejecutadas por la administración activa, diseñadas para proporcionar seguridad en la consecución de los siguientes objetivos: a) Proteger y conservar el patrimonio público contra cualquier pérdida, despilfarro, uso indebido, irregularidad o acto ilegal. b) Exigir confiabilidad y oportunidad de la información. c) Garantizar eficiencia y eficacia de las operaciones. d) Cumplir con el ordenamiento jurídico y técnico”. </w:t>
      </w:r>
    </w:p>
    <w:p w14:paraId="20E18FEB" w14:textId="77777777" w:rsidR="00DD7442" w:rsidRDefault="00DD7442" w:rsidP="00DD7442">
      <w:pPr>
        <w:spacing w:line="480" w:lineRule="auto"/>
        <w:jc w:val="both"/>
        <w:rPr>
          <w:rFonts w:ascii="Times New Roman" w:eastAsia="Times New Roman" w:hAnsi="Times New Roman" w:cs="Calibri"/>
          <w:szCs w:val="24"/>
        </w:rPr>
      </w:pPr>
      <w:r>
        <w:rPr>
          <w:rFonts w:ascii="Times New Roman" w:eastAsia="Times New Roman" w:hAnsi="Times New Roman" w:cs="Calibri"/>
          <w:szCs w:val="24"/>
        </w:rPr>
        <w:t xml:space="preserve">Conforme lo precisa la norma de cita, resulta ajeno al principio de legalidad solicitar a la Secretaría del Despacho o la Coordinación Judicial, la eliminación de resoluciones que se encuentren en el estado de terminado del Escritorio Virtual, esta solicitud quebranta la línea de trazabilidad de los actos procesales. En esta línea, conforme lo dispone la normativa rectora de la materia, el órgano instructor es el llamado a sanear la dirección del proceso atendiendo los principios de objetividad, confiabilidad y transparencia. En otro orden, resulta oportuno recordar la responsabilidad de mantener actualizados los datos y/o la información contenida en los expedientes electrónicos, </w:t>
      </w:r>
      <w:r>
        <w:rPr>
          <w:rFonts w:ascii="Times New Roman" w:eastAsia="Times New Roman" w:hAnsi="Times New Roman" w:cs="Calibri"/>
          <w:color w:val="000000"/>
          <w:sz w:val="24"/>
          <w:szCs w:val="24"/>
        </w:rPr>
        <w:t xml:space="preserve">a fin de evitar errores que afecten la tramitación de la instrucción de la investigación.    </w:t>
      </w:r>
    </w:p>
    <w:p w14:paraId="085AE93D" w14:textId="77777777" w:rsidR="00DD7442" w:rsidRDefault="00DD7442" w:rsidP="00DD7442">
      <w:pPr>
        <w:spacing w:line="480" w:lineRule="auto"/>
        <w:ind w:left="708"/>
        <w:jc w:val="both"/>
        <w:rPr>
          <w:rFonts w:ascii="Times New Roman" w:eastAsia="Times New Roman" w:hAnsi="Times New Roman" w:cs="Calibri"/>
          <w:color w:val="000000"/>
          <w:sz w:val="24"/>
          <w:szCs w:val="24"/>
        </w:rPr>
      </w:pPr>
    </w:p>
    <w:p w14:paraId="22B28BD9" w14:textId="77777777" w:rsidR="00DD7442" w:rsidRDefault="00DD7442" w:rsidP="00DD7442">
      <w:pPr>
        <w:spacing w:line="480" w:lineRule="auto"/>
        <w:jc w:val="both"/>
        <w:rPr>
          <w:rFonts w:ascii="Times New Roman" w:eastAsia="Times New Roman" w:hAnsi="Times New Roman" w:cs="Calibri"/>
          <w:szCs w:val="24"/>
        </w:rPr>
      </w:pPr>
      <w:r>
        <w:rPr>
          <w:rFonts w:ascii="Times New Roman" w:eastAsia="Times New Roman" w:hAnsi="Times New Roman" w:cs="Calibri"/>
          <w:color w:val="000000"/>
          <w:sz w:val="24"/>
          <w:szCs w:val="24"/>
        </w:rPr>
        <w:t>Atentamente,</w:t>
      </w:r>
    </w:p>
    <w:p w14:paraId="36ABD0A2" w14:textId="77777777" w:rsidR="00DD7442" w:rsidRDefault="00DD7442" w:rsidP="00DD7442">
      <w:pPr>
        <w:spacing w:line="480" w:lineRule="auto"/>
        <w:jc w:val="both"/>
        <w:rPr>
          <w:rFonts w:ascii="Times New Roman" w:eastAsia="Times New Roman" w:hAnsi="Times New Roman" w:cs="Calibri"/>
          <w:color w:val="000000"/>
          <w:sz w:val="24"/>
          <w:szCs w:val="24"/>
        </w:rPr>
      </w:pPr>
    </w:p>
    <w:p w14:paraId="786FB7A8" w14:textId="77777777" w:rsidR="00DD7442" w:rsidRDefault="00DD7442" w:rsidP="00DD7442">
      <w:pPr>
        <w:jc w:val="both"/>
        <w:rPr>
          <w:rFonts w:ascii="Times New Roman" w:eastAsia="Times New Roman" w:hAnsi="Times New Roman" w:cs="Calibri"/>
          <w:szCs w:val="24"/>
        </w:rPr>
      </w:pPr>
      <w:r>
        <w:rPr>
          <w:rFonts w:ascii="Times New Roman" w:eastAsia="Times New Roman" w:hAnsi="Times New Roman" w:cs="Calibri"/>
          <w:b/>
          <w:color w:val="000000"/>
          <w:sz w:val="24"/>
          <w:szCs w:val="24"/>
        </w:rPr>
        <w:t xml:space="preserve">Licda. </w:t>
      </w:r>
      <w:proofErr w:type="spellStart"/>
      <w:r>
        <w:rPr>
          <w:rFonts w:ascii="Times New Roman" w:eastAsia="Times New Roman" w:hAnsi="Times New Roman" w:cs="Calibri"/>
          <w:b/>
          <w:color w:val="000000"/>
          <w:sz w:val="24"/>
          <w:szCs w:val="24"/>
          <w:lang w:val="es-ES"/>
        </w:rPr>
        <w:t>Rosangélica</w:t>
      </w:r>
      <w:proofErr w:type="spellEnd"/>
      <w:r>
        <w:rPr>
          <w:rFonts w:ascii="Times New Roman" w:eastAsia="Times New Roman" w:hAnsi="Times New Roman" w:cs="Calibri"/>
          <w:b/>
          <w:color w:val="000000"/>
          <w:sz w:val="24"/>
          <w:szCs w:val="24"/>
          <w:lang w:val="es-ES"/>
        </w:rPr>
        <w:t xml:space="preserve"> Pérez García     </w:t>
      </w:r>
      <w:r>
        <w:rPr>
          <w:rFonts w:ascii="Times New Roman" w:eastAsia="Times New Roman" w:hAnsi="Times New Roman" w:cs="Calibri"/>
          <w:b/>
          <w:color w:val="000000"/>
          <w:sz w:val="24"/>
          <w:szCs w:val="24"/>
        </w:rPr>
        <w:tab/>
      </w:r>
      <w:r>
        <w:rPr>
          <w:rFonts w:ascii="Times New Roman" w:eastAsia="Times New Roman" w:hAnsi="Times New Roman" w:cs="Calibri"/>
          <w:b/>
          <w:color w:val="000000"/>
          <w:sz w:val="24"/>
          <w:szCs w:val="24"/>
        </w:rPr>
        <w:tab/>
        <w:t xml:space="preserve">   </w:t>
      </w:r>
      <w:proofErr w:type="spellStart"/>
      <w:r>
        <w:rPr>
          <w:rFonts w:ascii="Times New Roman" w:eastAsia="Times New Roman" w:hAnsi="Times New Roman" w:cs="Calibri"/>
          <w:b/>
          <w:color w:val="000000"/>
          <w:sz w:val="24"/>
          <w:szCs w:val="24"/>
        </w:rPr>
        <w:t>Msc</w:t>
      </w:r>
      <w:proofErr w:type="spellEnd"/>
      <w:r>
        <w:rPr>
          <w:rFonts w:ascii="Times New Roman" w:eastAsia="Times New Roman" w:hAnsi="Times New Roman" w:cs="Calibri"/>
          <w:b/>
          <w:color w:val="000000"/>
          <w:sz w:val="24"/>
          <w:szCs w:val="24"/>
        </w:rPr>
        <w:t xml:space="preserve">. Estrellita Orellana Guevara </w:t>
      </w:r>
    </w:p>
    <w:p w14:paraId="70E59BF1" w14:textId="77777777" w:rsidR="00DD7442" w:rsidRDefault="00DD7442" w:rsidP="00DD7442">
      <w:pPr>
        <w:rPr>
          <w:rFonts w:ascii="Times New Roman" w:eastAsia="Times New Roman" w:hAnsi="Times New Roman" w:cs="Calibri"/>
          <w:szCs w:val="24"/>
        </w:rPr>
      </w:pPr>
      <w:r>
        <w:rPr>
          <w:rFonts w:ascii="Times New Roman" w:eastAsia="Times New Roman" w:hAnsi="Times New Roman" w:cs="Calibri"/>
          <w:b/>
          <w:color w:val="000000"/>
          <w:sz w:val="24"/>
          <w:szCs w:val="24"/>
        </w:rPr>
        <w:t xml:space="preserve">      Secretaria </w:t>
      </w:r>
      <w:proofErr w:type="spellStart"/>
      <w:r>
        <w:rPr>
          <w:rFonts w:ascii="Times New Roman" w:eastAsia="Times New Roman" w:hAnsi="Times New Roman" w:cs="Calibri"/>
          <w:b/>
          <w:color w:val="000000"/>
          <w:sz w:val="24"/>
          <w:szCs w:val="24"/>
        </w:rPr>
        <w:t>a.i.</w:t>
      </w:r>
      <w:proofErr w:type="spellEnd"/>
      <w:r>
        <w:rPr>
          <w:rFonts w:ascii="Times New Roman" w:eastAsia="Times New Roman" w:hAnsi="Times New Roman" w:cs="Calibri"/>
          <w:b/>
          <w:color w:val="000000"/>
          <w:sz w:val="24"/>
          <w:szCs w:val="24"/>
        </w:rPr>
        <w:t xml:space="preserve">                                                                            Presidenta </w:t>
      </w:r>
      <w:proofErr w:type="spellStart"/>
      <w:r>
        <w:rPr>
          <w:rFonts w:ascii="Times New Roman" w:eastAsia="Times New Roman" w:hAnsi="Times New Roman" w:cs="Calibri"/>
          <w:b/>
          <w:color w:val="000000"/>
          <w:sz w:val="24"/>
          <w:szCs w:val="24"/>
        </w:rPr>
        <w:t>a.í</w:t>
      </w:r>
      <w:proofErr w:type="spellEnd"/>
      <w:r>
        <w:rPr>
          <w:rFonts w:ascii="Times New Roman" w:eastAsia="Times New Roman" w:hAnsi="Times New Roman" w:cs="Calibri"/>
          <w:b/>
          <w:color w:val="000000"/>
          <w:sz w:val="24"/>
          <w:szCs w:val="24"/>
        </w:rPr>
        <w:t>.</w:t>
      </w:r>
    </w:p>
    <w:p w14:paraId="339C6CC1" w14:textId="77777777" w:rsidR="00DD7442" w:rsidRDefault="00DD7442" w:rsidP="00DD7442">
      <w:pPr>
        <w:rPr>
          <w:rFonts w:ascii="Times New Roman" w:eastAsia="Times New Roman" w:hAnsi="Times New Roman" w:cs="Calibri"/>
          <w:szCs w:val="24"/>
        </w:rPr>
      </w:pPr>
      <w:r>
        <w:rPr>
          <w:rFonts w:ascii="Times New Roman" w:eastAsia="Times New Roman" w:hAnsi="Times New Roman" w:cs="Calibri"/>
          <w:b/>
          <w:color w:val="000000"/>
          <w:sz w:val="24"/>
          <w:szCs w:val="24"/>
        </w:rPr>
        <w:t xml:space="preserve"> </w:t>
      </w:r>
    </w:p>
    <w:p w14:paraId="1304F9DD" w14:textId="77777777" w:rsidR="00DD7442" w:rsidRDefault="00DD7442" w:rsidP="00DD7442">
      <w:pPr>
        <w:jc w:val="center"/>
        <w:rPr>
          <w:rFonts w:ascii="Calibri" w:eastAsia="Times New Roman" w:hAnsi="Calibri" w:cs="Calibri"/>
          <w:szCs w:val="24"/>
        </w:rPr>
      </w:pPr>
      <w:r>
        <w:rPr>
          <w:rFonts w:ascii="Times New Roman" w:eastAsia="Times New Roman" w:hAnsi="Times New Roman" w:cs="Calibri"/>
          <w:b/>
          <w:color w:val="000000"/>
          <w:sz w:val="24"/>
          <w:szCs w:val="24"/>
        </w:rPr>
        <w:t>Inspección Judicial</w:t>
      </w:r>
    </w:p>
    <w:p w14:paraId="28A10A64" w14:textId="42675482" w:rsidR="00622718" w:rsidRPr="00DD7442" w:rsidRDefault="00622718" w:rsidP="00DD7442"/>
    <w:sectPr w:rsidR="00622718" w:rsidRPr="00DD74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2819"/>
    <w:multiLevelType w:val="hybridMultilevel"/>
    <w:tmpl w:val="5A68BCCE"/>
    <w:lvl w:ilvl="0" w:tplc="DDE08128">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07"/>
    <w:rsid w:val="000C2462"/>
    <w:rsid w:val="00277E07"/>
    <w:rsid w:val="00373A8A"/>
    <w:rsid w:val="00394545"/>
    <w:rsid w:val="003A3B44"/>
    <w:rsid w:val="005A087C"/>
    <w:rsid w:val="005C146F"/>
    <w:rsid w:val="00622718"/>
    <w:rsid w:val="006C094B"/>
    <w:rsid w:val="0082754A"/>
    <w:rsid w:val="00AC15CB"/>
    <w:rsid w:val="00DD744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E392"/>
  <w15:chartTrackingRefBased/>
  <w15:docId w15:val="{9F795620-2149-4768-A3F8-17B3FE6C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E07"/>
    <w:pPr>
      <w:suppressAutoHyphens/>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oromisin">
    <w:name w:val="Por omisión"/>
    <w:uiPriority w:val="99"/>
    <w:qFormat/>
    <w:rsid w:val="00277E07"/>
    <w:pPr>
      <w:suppressAutoHyphens/>
      <w:spacing w:after="0" w:line="240" w:lineRule="auto"/>
    </w:pPr>
    <w:rPr>
      <w:rFonts w:ascii="Helvetica" w:eastAsia="Arial Unicode MS" w:hAnsi="Helvetica" w:cs="Arial Unicode MS"/>
      <w:color w:val="000000"/>
      <w:lang w:val="pt-PT" w:eastAsia="es-CR"/>
    </w:rPr>
  </w:style>
  <w:style w:type="paragraph" w:styleId="Prrafodelista">
    <w:name w:val="List Paragraph"/>
    <w:basedOn w:val="Normal"/>
    <w:uiPriority w:val="34"/>
    <w:qFormat/>
    <w:rsid w:val="00277E07"/>
    <w:pPr>
      <w:ind w:left="720"/>
      <w:contextualSpacing/>
    </w:pPr>
  </w:style>
  <w:style w:type="paragraph" w:customStyle="1" w:styleId="Standard">
    <w:name w:val="Standard"/>
    <w:uiPriority w:val="99"/>
    <w:rsid w:val="00DD7442"/>
    <w:pPr>
      <w:widowControl w:val="0"/>
      <w:autoSpaceDE w:val="0"/>
      <w:autoSpaceDN w:val="0"/>
      <w:adjustRightInd w:val="0"/>
      <w:spacing w:after="0" w:line="240" w:lineRule="auto"/>
    </w:pPr>
    <w:rPr>
      <w:rFonts w:ascii="Liberation Serif" w:eastAsiaTheme="minorEastAsia" w:hAnsi="Liberation Serif" w:cs="Liberation Serif"/>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0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459</Words>
  <Characters>2529</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Murillo Betancourt</dc:creator>
  <cp:keywords/>
  <dc:description/>
  <cp:lastModifiedBy>María José Murillo Betancourt</cp:lastModifiedBy>
  <cp:revision>6</cp:revision>
  <dcterms:created xsi:type="dcterms:W3CDTF">2022-09-06T20:25:00Z</dcterms:created>
  <dcterms:modified xsi:type="dcterms:W3CDTF">2022-09-22T17:27:00Z</dcterms:modified>
</cp:coreProperties>
</file>