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FD4" w:rsidRDefault="00795FD4" w:rsidP="00795FD4">
      <w:pPr>
        <w:pStyle w:val="Textosinformato1"/>
        <w:jc w:val="center"/>
        <w:rPr>
          <w:rFonts w:ascii="Verdana" w:hAnsi="Verdana"/>
          <w:b/>
          <w:bCs/>
          <w:sz w:val="22"/>
          <w:szCs w:val="22"/>
          <w:lang w:val="es-ES"/>
        </w:rPr>
      </w:pPr>
      <w:r>
        <w:rPr>
          <w:rFonts w:ascii="Verdana" w:hAnsi="Verdana"/>
          <w:b/>
          <w:bCs/>
          <w:sz w:val="22"/>
          <w:szCs w:val="22"/>
          <w:lang w:val="es-ES"/>
        </w:rPr>
        <w:t xml:space="preserve"> </w:t>
      </w:r>
    </w:p>
    <w:p w:rsidR="00795FD4" w:rsidRDefault="00795FD4" w:rsidP="00795FD4">
      <w:pPr>
        <w:pStyle w:val="Textosinformato1"/>
        <w:jc w:val="center"/>
        <w:rPr>
          <w:rFonts w:ascii="Verdana" w:hAnsi="Verdana"/>
          <w:b/>
          <w:bCs/>
          <w:sz w:val="22"/>
          <w:szCs w:val="22"/>
          <w:lang w:val="es-ES"/>
        </w:rPr>
      </w:pPr>
    </w:p>
    <w:p w:rsidR="00795FD4" w:rsidRPr="009F1F7A" w:rsidRDefault="00795FD4" w:rsidP="00795FD4">
      <w:pPr>
        <w:pStyle w:val="Textosinformato1"/>
        <w:jc w:val="center"/>
        <w:rPr>
          <w:rFonts w:ascii="Verdana" w:hAnsi="Verdana"/>
          <w:b/>
          <w:bCs/>
          <w:sz w:val="22"/>
          <w:szCs w:val="22"/>
          <w:highlight w:val="yellow"/>
          <w:lang w:val="es-ES"/>
        </w:rPr>
      </w:pPr>
      <w:r w:rsidRPr="009F1F7A">
        <w:rPr>
          <w:rFonts w:ascii="Verdana" w:hAnsi="Verdana"/>
          <w:b/>
          <w:bCs/>
          <w:sz w:val="22"/>
          <w:szCs w:val="22"/>
          <w:highlight w:val="yellow"/>
          <w:lang w:val="es-ES"/>
        </w:rPr>
        <w:t>Estatuto Servicio Judicial</w:t>
      </w:r>
    </w:p>
    <w:p w:rsidR="00795FD4" w:rsidRPr="009F1F7A" w:rsidRDefault="00795FD4" w:rsidP="00795FD4">
      <w:pPr>
        <w:pStyle w:val="Textosinformato1"/>
        <w:jc w:val="center"/>
        <w:rPr>
          <w:rFonts w:ascii="Verdana" w:hAnsi="Verdana"/>
          <w:b/>
          <w:bCs/>
          <w:sz w:val="22"/>
          <w:szCs w:val="22"/>
          <w:highlight w:val="yellow"/>
          <w:lang w:val="es-ES"/>
        </w:rPr>
      </w:pPr>
    </w:p>
    <w:p w:rsidR="00795FD4" w:rsidRPr="009F1F7A" w:rsidRDefault="00795FD4" w:rsidP="00795FD4">
      <w:pPr>
        <w:pStyle w:val="Textosinformato1"/>
        <w:jc w:val="center"/>
        <w:rPr>
          <w:rFonts w:ascii="Verdana" w:hAnsi="Verdana"/>
          <w:b/>
          <w:bCs/>
          <w:sz w:val="22"/>
          <w:szCs w:val="22"/>
          <w:highlight w:val="yellow"/>
          <w:lang w:val="es-ES"/>
        </w:rPr>
      </w:pPr>
      <w:r w:rsidRPr="009F1F7A">
        <w:rPr>
          <w:rFonts w:ascii="Verdana" w:hAnsi="Verdana"/>
          <w:b/>
          <w:bCs/>
          <w:sz w:val="22"/>
          <w:szCs w:val="22"/>
          <w:highlight w:val="yellow"/>
          <w:lang w:val="es-ES"/>
        </w:rPr>
        <w:t>Período de prueba</w:t>
      </w:r>
    </w:p>
    <w:p w:rsidR="00795FD4" w:rsidRPr="009F1F7A" w:rsidRDefault="00795FD4" w:rsidP="00795FD4">
      <w:pPr>
        <w:pStyle w:val="Textosinformato1"/>
        <w:jc w:val="both"/>
        <w:rPr>
          <w:rFonts w:ascii="Verdana" w:hAnsi="Verdana"/>
          <w:sz w:val="22"/>
          <w:szCs w:val="22"/>
          <w:highlight w:val="yellow"/>
          <w:lang w:val="es-ES"/>
        </w:rPr>
      </w:pPr>
    </w:p>
    <w:p w:rsidR="00795FD4" w:rsidRPr="009F1F7A" w:rsidRDefault="00795FD4" w:rsidP="00795FD4">
      <w:pPr>
        <w:pStyle w:val="Textosinformato1"/>
        <w:jc w:val="both"/>
        <w:rPr>
          <w:rFonts w:ascii="Verdana" w:hAnsi="Verdana"/>
          <w:sz w:val="22"/>
          <w:szCs w:val="22"/>
          <w:highlight w:val="yellow"/>
          <w:lang w:val="es-ES"/>
        </w:rPr>
      </w:pPr>
      <w:r w:rsidRPr="009F1F7A">
        <w:rPr>
          <w:rFonts w:ascii="Verdana" w:hAnsi="Verdana"/>
          <w:sz w:val="22"/>
          <w:szCs w:val="22"/>
          <w:highlight w:val="yellow"/>
          <w:lang w:val="es-ES"/>
        </w:rPr>
        <w:t>          Artículo 33.-Para que un servidor judicial reciba la protección de esta ley deberá cumplir, satisfactoriamente, un período de prueba de un año, que se contará a partir de la fecha en que se haga cargo de su puesto.</w:t>
      </w:r>
    </w:p>
    <w:p w:rsidR="00795FD4" w:rsidRPr="009F1F7A" w:rsidRDefault="00795FD4" w:rsidP="00795FD4">
      <w:pPr>
        <w:pStyle w:val="Textosinformato1"/>
        <w:jc w:val="both"/>
        <w:rPr>
          <w:rFonts w:ascii="Verdana" w:hAnsi="Verdana"/>
          <w:b/>
          <w:bCs/>
          <w:i/>
          <w:iCs/>
          <w:sz w:val="22"/>
          <w:szCs w:val="22"/>
          <w:highlight w:val="yellow"/>
          <w:lang w:val="es-ES"/>
        </w:rPr>
      </w:pPr>
      <w:r w:rsidRPr="009F1F7A">
        <w:rPr>
          <w:rFonts w:ascii="Verdana" w:hAnsi="Verdana"/>
          <w:b/>
          <w:bCs/>
          <w:i/>
          <w:iCs/>
          <w:sz w:val="22"/>
          <w:szCs w:val="22"/>
          <w:highlight w:val="yellow"/>
          <w:lang w:val="es-ES"/>
        </w:rPr>
        <w:t xml:space="preserve">(Así reformado por el artículo 38 de la Ley </w:t>
      </w:r>
      <w:proofErr w:type="spellStart"/>
      <w:r w:rsidRPr="009F1F7A">
        <w:rPr>
          <w:rFonts w:ascii="Verdana" w:hAnsi="Verdana"/>
          <w:b/>
          <w:bCs/>
          <w:i/>
          <w:iCs/>
          <w:sz w:val="22"/>
          <w:szCs w:val="22"/>
          <w:highlight w:val="yellow"/>
          <w:lang w:val="es-ES"/>
        </w:rPr>
        <w:t>Nº</w:t>
      </w:r>
      <w:proofErr w:type="spellEnd"/>
      <w:r w:rsidRPr="009F1F7A">
        <w:rPr>
          <w:rFonts w:ascii="Verdana" w:hAnsi="Verdana"/>
          <w:b/>
          <w:bCs/>
          <w:i/>
          <w:iCs/>
          <w:sz w:val="22"/>
          <w:szCs w:val="22"/>
          <w:highlight w:val="yellow"/>
          <w:lang w:val="es-ES"/>
        </w:rPr>
        <w:t xml:space="preserve"> 6593, de 6 de agosto de 1981.)</w:t>
      </w:r>
    </w:p>
    <w:p w:rsidR="00795FD4" w:rsidRPr="009F1F7A" w:rsidRDefault="00795FD4" w:rsidP="00795FD4">
      <w:pPr>
        <w:pStyle w:val="Textosinformato1"/>
        <w:jc w:val="both"/>
        <w:rPr>
          <w:rFonts w:ascii="Verdana" w:hAnsi="Verdana"/>
          <w:sz w:val="22"/>
          <w:szCs w:val="22"/>
          <w:highlight w:val="yellow"/>
          <w:lang w:val="es-ES"/>
        </w:rPr>
      </w:pPr>
    </w:p>
    <w:p w:rsidR="00795FD4" w:rsidRPr="009F1F7A" w:rsidRDefault="00795FD4" w:rsidP="00795FD4">
      <w:pPr>
        <w:pStyle w:val="Textosinformato1"/>
        <w:jc w:val="both"/>
        <w:rPr>
          <w:rFonts w:ascii="Verdana" w:hAnsi="Verdana"/>
          <w:sz w:val="22"/>
          <w:szCs w:val="22"/>
          <w:highlight w:val="yellow"/>
          <w:lang w:val="es-ES"/>
        </w:rPr>
      </w:pPr>
      <w:r w:rsidRPr="009F1F7A">
        <w:rPr>
          <w:rFonts w:ascii="Verdana" w:hAnsi="Verdana"/>
          <w:sz w:val="22"/>
          <w:szCs w:val="22"/>
          <w:highlight w:val="yellow"/>
          <w:lang w:val="es-ES"/>
        </w:rPr>
        <w:t>          Artículo 34.- El período de prueba se regirá por las siguientes disposiciones:</w:t>
      </w:r>
    </w:p>
    <w:p w:rsidR="00795FD4" w:rsidRPr="009F1F7A" w:rsidRDefault="00795FD4" w:rsidP="00795FD4">
      <w:pPr>
        <w:pStyle w:val="Textosinformato1"/>
        <w:jc w:val="both"/>
        <w:rPr>
          <w:rFonts w:ascii="Verdana" w:hAnsi="Verdana"/>
          <w:sz w:val="22"/>
          <w:szCs w:val="22"/>
          <w:highlight w:val="yellow"/>
          <w:lang w:val="es-ES"/>
        </w:rPr>
      </w:pPr>
      <w:bookmarkStart w:id="0" w:name="_GoBack"/>
      <w:bookmarkEnd w:id="0"/>
    </w:p>
    <w:p w:rsidR="00795FD4" w:rsidRPr="009F1F7A" w:rsidRDefault="00795FD4" w:rsidP="00795FD4">
      <w:pPr>
        <w:pStyle w:val="Textosinformato1"/>
        <w:ind w:left="567"/>
        <w:jc w:val="both"/>
        <w:rPr>
          <w:rFonts w:ascii="Verdana" w:hAnsi="Verdana"/>
          <w:sz w:val="22"/>
          <w:szCs w:val="22"/>
          <w:highlight w:val="yellow"/>
          <w:lang w:val="es-ES"/>
        </w:rPr>
      </w:pPr>
      <w:r w:rsidRPr="009F1F7A">
        <w:rPr>
          <w:rFonts w:ascii="Verdana" w:hAnsi="Verdana"/>
          <w:sz w:val="22"/>
          <w:szCs w:val="22"/>
          <w:highlight w:val="yellow"/>
          <w:lang w:val="es-ES"/>
        </w:rPr>
        <w:t xml:space="preserve">a)         </w:t>
      </w:r>
      <w:proofErr w:type="gramStart"/>
      <w:r w:rsidRPr="009F1F7A">
        <w:rPr>
          <w:rFonts w:ascii="Verdana" w:hAnsi="Verdana"/>
          <w:sz w:val="22"/>
          <w:szCs w:val="22"/>
          <w:highlight w:val="yellow"/>
          <w:lang w:val="es-ES"/>
        </w:rPr>
        <w:t>Se  aplicará</w:t>
      </w:r>
      <w:proofErr w:type="gramEnd"/>
      <w:r w:rsidRPr="009F1F7A">
        <w:rPr>
          <w:rFonts w:ascii="Verdana" w:hAnsi="Verdana"/>
          <w:sz w:val="22"/>
          <w:szCs w:val="22"/>
          <w:highlight w:val="yellow"/>
          <w:lang w:val="es-ES"/>
        </w:rPr>
        <w:t xml:space="preserve"> tanto en los casos de iniciación de contrato como en los de ascenso o  traslado, pero en estos últimos casos será de tres meses.</w:t>
      </w:r>
    </w:p>
    <w:p w:rsidR="00795FD4" w:rsidRDefault="00795FD4" w:rsidP="00795FD4">
      <w:pPr>
        <w:pStyle w:val="Textosinformato1"/>
        <w:ind w:left="567"/>
        <w:jc w:val="both"/>
        <w:rPr>
          <w:rFonts w:ascii="Verdana" w:hAnsi="Verdana"/>
          <w:b/>
          <w:bCs/>
          <w:i/>
          <w:iCs/>
          <w:sz w:val="22"/>
          <w:szCs w:val="22"/>
          <w:lang w:val="es-ES"/>
        </w:rPr>
      </w:pPr>
      <w:r w:rsidRPr="009F1F7A">
        <w:rPr>
          <w:rFonts w:ascii="Verdana" w:hAnsi="Verdana"/>
          <w:b/>
          <w:bCs/>
          <w:i/>
          <w:iCs/>
          <w:sz w:val="22"/>
          <w:szCs w:val="22"/>
          <w:highlight w:val="yellow"/>
          <w:lang w:val="es-ES"/>
        </w:rPr>
        <w:t xml:space="preserve">            (Así reformado este inciso a) por el artículo 38 de la Ley </w:t>
      </w:r>
      <w:proofErr w:type="spellStart"/>
      <w:r w:rsidRPr="009F1F7A">
        <w:rPr>
          <w:rFonts w:ascii="Verdana" w:hAnsi="Verdana"/>
          <w:b/>
          <w:bCs/>
          <w:i/>
          <w:iCs/>
          <w:sz w:val="22"/>
          <w:szCs w:val="22"/>
          <w:highlight w:val="yellow"/>
          <w:lang w:val="es-ES"/>
        </w:rPr>
        <w:t>Nº</w:t>
      </w:r>
      <w:proofErr w:type="spellEnd"/>
      <w:r w:rsidRPr="009F1F7A">
        <w:rPr>
          <w:rFonts w:ascii="Verdana" w:hAnsi="Verdana"/>
          <w:b/>
          <w:bCs/>
          <w:i/>
          <w:iCs/>
          <w:sz w:val="22"/>
          <w:szCs w:val="22"/>
          <w:highlight w:val="yellow"/>
          <w:lang w:val="es-ES"/>
        </w:rPr>
        <w:t xml:space="preserve"> 6593, de 6 de agosto                    de 1981.)</w:t>
      </w:r>
    </w:p>
    <w:p w:rsidR="00795FD4" w:rsidRDefault="00795FD4" w:rsidP="00795FD4">
      <w:pPr>
        <w:pStyle w:val="Textosinformato1"/>
        <w:ind w:left="567"/>
        <w:jc w:val="both"/>
        <w:rPr>
          <w:rFonts w:ascii="Verdana" w:hAnsi="Verdana"/>
          <w:sz w:val="22"/>
          <w:szCs w:val="22"/>
          <w:lang w:val="es-ES"/>
        </w:rPr>
      </w:pPr>
      <w:r>
        <w:rPr>
          <w:rFonts w:ascii="Verdana" w:hAnsi="Verdana"/>
          <w:sz w:val="22"/>
          <w:szCs w:val="22"/>
          <w:lang w:val="es-ES"/>
        </w:rPr>
        <w:t xml:space="preserve">b)         Si se tratare de iniciación de contrato, el jefe de la oficina podrá despedir al  servidor                    durante  el período  de  prueba; pero   deberá   informar   a   la   Corte  Plena  y al             Departamento de  Personal sobre los motivos del despido.  En casos </w:t>
      </w:r>
      <w:proofErr w:type="gramStart"/>
      <w:r>
        <w:rPr>
          <w:rFonts w:ascii="Verdana" w:hAnsi="Verdana"/>
          <w:sz w:val="22"/>
          <w:szCs w:val="22"/>
          <w:lang w:val="es-ES"/>
        </w:rPr>
        <w:t>especiales  el</w:t>
      </w:r>
      <w:proofErr w:type="gramEnd"/>
      <w:r>
        <w:rPr>
          <w:rFonts w:ascii="Verdana" w:hAnsi="Verdana"/>
          <w:sz w:val="22"/>
          <w:szCs w:val="22"/>
          <w:lang w:val="es-ES"/>
        </w:rPr>
        <w:t xml:space="preserve">   informe podrá ser confidencial y se rendirá directamente al Presidente de la Corte; y </w:t>
      </w:r>
    </w:p>
    <w:p w:rsidR="00795FD4" w:rsidRDefault="00795FD4" w:rsidP="00795FD4">
      <w:pPr>
        <w:pStyle w:val="Textosinformato1"/>
        <w:ind w:left="567"/>
        <w:jc w:val="both"/>
        <w:rPr>
          <w:rFonts w:ascii="Verdana" w:hAnsi="Verdana"/>
          <w:sz w:val="22"/>
          <w:szCs w:val="22"/>
          <w:lang w:val="es-ES"/>
        </w:rPr>
      </w:pPr>
      <w:r>
        <w:rPr>
          <w:rFonts w:ascii="Verdana" w:hAnsi="Verdana"/>
          <w:sz w:val="22"/>
          <w:szCs w:val="22"/>
          <w:lang w:val="es-ES"/>
        </w:rPr>
        <w:t xml:space="preserve">c)         Cuando se trate de ascenso o traslado, el sustituto quedará sujeto dentro </w:t>
      </w:r>
      <w:proofErr w:type="gramStart"/>
      <w:r>
        <w:rPr>
          <w:rFonts w:ascii="Verdana" w:hAnsi="Verdana"/>
          <w:sz w:val="22"/>
          <w:szCs w:val="22"/>
          <w:lang w:val="es-ES"/>
        </w:rPr>
        <w:t>del  período</w:t>
      </w:r>
      <w:proofErr w:type="gramEnd"/>
      <w:r>
        <w:rPr>
          <w:rFonts w:ascii="Verdana" w:hAnsi="Verdana"/>
          <w:sz w:val="22"/>
          <w:szCs w:val="22"/>
          <w:lang w:val="es-ES"/>
        </w:rPr>
        <w:t xml:space="preserve">           de prueba de tres meses, a la eventualidad de que si aquél a quien sustituyó no fuere       eficiente en el nuevo cargo, el jefe de la respectiva oficina deberá  reintegrarlo a su                puesto anterior y así sucesivamente.</w:t>
      </w:r>
    </w:p>
    <w:p w:rsidR="00795FD4" w:rsidRDefault="00795FD4" w:rsidP="00795FD4">
      <w:pPr>
        <w:pStyle w:val="Textosinformato1"/>
        <w:jc w:val="both"/>
        <w:rPr>
          <w:rFonts w:ascii="Verdana" w:hAnsi="Verdana"/>
          <w:sz w:val="22"/>
          <w:szCs w:val="22"/>
          <w:lang w:val="es-ES"/>
        </w:rPr>
      </w:pPr>
      <w:r>
        <w:rPr>
          <w:rFonts w:ascii="Verdana" w:hAnsi="Verdana"/>
          <w:sz w:val="22"/>
          <w:szCs w:val="22"/>
          <w:lang w:val="es-ES"/>
        </w:rPr>
        <w:t>                              En estos casos, el término del servicio en el puesto superior se acumulará al           del inferior, para la obtención de los aumentos por tiempo servido.</w:t>
      </w:r>
    </w:p>
    <w:p w:rsidR="00795FD4" w:rsidRDefault="00795FD4" w:rsidP="00795FD4">
      <w:pPr>
        <w:pStyle w:val="Textosinformato1"/>
        <w:jc w:val="both"/>
        <w:rPr>
          <w:rFonts w:ascii="Verdana" w:hAnsi="Verdana"/>
          <w:sz w:val="22"/>
          <w:szCs w:val="22"/>
          <w:lang w:val="es-ES"/>
        </w:rPr>
      </w:pPr>
    </w:p>
    <w:p w:rsidR="00795FD4" w:rsidRDefault="00795FD4" w:rsidP="00795FD4">
      <w:pPr>
        <w:pStyle w:val="Textosinformato1"/>
        <w:jc w:val="both"/>
        <w:rPr>
          <w:rFonts w:ascii="Verdana" w:hAnsi="Verdana"/>
          <w:sz w:val="22"/>
          <w:szCs w:val="22"/>
          <w:lang w:val="es-ES"/>
        </w:rPr>
      </w:pPr>
      <w:r>
        <w:rPr>
          <w:rFonts w:ascii="Verdana" w:hAnsi="Verdana"/>
          <w:sz w:val="22"/>
          <w:szCs w:val="22"/>
          <w:lang w:val="es-ES"/>
        </w:rPr>
        <w:t xml:space="preserve">          Artículo 35.- La Corte Plena, a instancia del </w:t>
      </w:r>
      <w:proofErr w:type="gramStart"/>
      <w:r>
        <w:rPr>
          <w:rFonts w:ascii="Verdana" w:hAnsi="Verdana"/>
          <w:sz w:val="22"/>
          <w:szCs w:val="22"/>
          <w:lang w:val="es-ES"/>
        </w:rPr>
        <w:t>Jefe</w:t>
      </w:r>
      <w:proofErr w:type="gramEnd"/>
      <w:r>
        <w:rPr>
          <w:rFonts w:ascii="Verdana" w:hAnsi="Verdana"/>
          <w:sz w:val="22"/>
          <w:szCs w:val="22"/>
          <w:lang w:val="es-ES"/>
        </w:rPr>
        <w:t xml:space="preserve"> del Departamento de Personal, acordará la remoción de cualquier servidor durante su período de prueba, cuando aparezca que el nombramiento fue el resultado de un fraude, de una confusión de nombres o de cualquier otro error grave.</w:t>
      </w:r>
    </w:p>
    <w:p w:rsidR="00795FD4" w:rsidRDefault="00795FD4" w:rsidP="00795FD4">
      <w:pPr>
        <w:pStyle w:val="Textosinformato1"/>
        <w:jc w:val="both"/>
        <w:rPr>
          <w:rFonts w:ascii="Verdana" w:hAnsi="Verdana"/>
          <w:sz w:val="22"/>
          <w:szCs w:val="22"/>
          <w:lang w:val="es-ES"/>
        </w:rPr>
      </w:pPr>
      <w:r>
        <w:rPr>
          <w:rFonts w:ascii="Verdana" w:hAnsi="Verdana"/>
          <w:sz w:val="22"/>
          <w:szCs w:val="22"/>
          <w:lang w:val="es-ES"/>
        </w:rPr>
        <w:t>          El interesado será oído de previo por el Departamento de Personal, por el término de tres días.</w:t>
      </w:r>
    </w:p>
    <w:p w:rsidR="00795FD4" w:rsidRDefault="00795FD4" w:rsidP="00795FD4">
      <w:pPr>
        <w:pStyle w:val="Textosinformato1"/>
        <w:jc w:val="both"/>
        <w:rPr>
          <w:rFonts w:ascii="Verdana" w:hAnsi="Verdana"/>
          <w:sz w:val="22"/>
          <w:szCs w:val="22"/>
          <w:lang w:val="es-ES"/>
        </w:rPr>
      </w:pPr>
    </w:p>
    <w:p w:rsidR="00795FD4" w:rsidRDefault="00795FD4" w:rsidP="00795FD4">
      <w:pPr>
        <w:pStyle w:val="Textosinformato1"/>
        <w:jc w:val="both"/>
        <w:rPr>
          <w:rFonts w:ascii="Verdana" w:hAnsi="Verdana"/>
          <w:b/>
          <w:bCs/>
          <w:sz w:val="22"/>
          <w:szCs w:val="22"/>
          <w:lang w:val="es-ES"/>
        </w:rPr>
      </w:pPr>
      <w:r>
        <w:rPr>
          <w:rFonts w:ascii="Verdana" w:hAnsi="Verdana"/>
          <w:sz w:val="22"/>
          <w:szCs w:val="22"/>
          <w:lang w:val="es-ES"/>
        </w:rPr>
        <w:t>          Artículo 36.- El período de prueba podrá exceder de tres meses cuando el nombramiento en propiedad de un servidor haya quedado sujeto a la aprobación de los cursos de capacitación.</w:t>
      </w:r>
    </w:p>
    <w:p w:rsidR="00826C17" w:rsidRDefault="00826C17"/>
    <w:sectPr w:rsidR="00826C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D4"/>
    <w:rsid w:val="005A3D7A"/>
    <w:rsid w:val="00795FD4"/>
    <w:rsid w:val="00826C17"/>
    <w:rsid w:val="009F1F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790B3-2B89-457B-97C7-8C5EEBD4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sinformato1">
    <w:name w:val="Texto sin formato1"/>
    <w:basedOn w:val="Normal"/>
    <w:rsid w:val="00795FD4"/>
    <w:pPr>
      <w:overflowPunct w:val="0"/>
      <w:autoSpaceDE w:val="0"/>
      <w:autoSpaceDN w:val="0"/>
      <w:spacing w:after="0" w:line="240" w:lineRule="auto"/>
    </w:pPr>
    <w:rPr>
      <w:rFonts w:ascii="Courier New"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65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Granados Rodríguez</dc:creator>
  <cp:keywords/>
  <dc:description/>
  <cp:lastModifiedBy>Karla Alpizar Salazar</cp:lastModifiedBy>
  <cp:revision>2</cp:revision>
  <dcterms:created xsi:type="dcterms:W3CDTF">2018-01-24T19:55:00Z</dcterms:created>
  <dcterms:modified xsi:type="dcterms:W3CDTF">2018-01-24T19:55:00Z</dcterms:modified>
</cp:coreProperties>
</file>