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77E2A" w14:textId="0A881D49" w:rsidR="00B345FE" w:rsidRPr="00E855C7" w:rsidRDefault="00B345FE" w:rsidP="0008382F">
      <w:pPr>
        <w:widowControl w:val="0"/>
        <w:spacing w:after="0" w:line="240" w:lineRule="auto"/>
        <w:jc w:val="center"/>
        <w:rPr>
          <w:rFonts w:ascii="Times New Roman" w:eastAsia="Arial Unicode MS" w:hAnsi="Times New Roman" w:cs="Times New Roman"/>
          <w:kern w:val="1"/>
          <w:lang w:val="es-ES_tradnl" w:eastAsia="es-CR"/>
        </w:rPr>
      </w:pPr>
      <w:r w:rsidRPr="00E855C7">
        <w:rPr>
          <w:rFonts w:ascii="Times New Roman" w:eastAsia="Arial Unicode MS" w:hAnsi="Times New Roman" w:cs="Times New Roman"/>
          <w:b/>
          <w:bCs/>
          <w:kern w:val="1"/>
          <w:u w:val="single"/>
          <w:lang w:val="es-ES_tradnl" w:eastAsia="es-CR"/>
        </w:rPr>
        <w:t xml:space="preserve">CIRCULAR No. </w:t>
      </w:r>
      <w:r w:rsidR="0008382F">
        <w:rPr>
          <w:rFonts w:ascii="Times New Roman" w:eastAsia="Arial Unicode MS" w:hAnsi="Times New Roman" w:cs="Times New Roman"/>
          <w:b/>
          <w:bCs/>
          <w:kern w:val="1"/>
          <w:u w:val="single"/>
          <w:lang w:val="es-ES_tradnl" w:eastAsia="es-CR"/>
        </w:rPr>
        <w:t>131</w:t>
      </w:r>
      <w:r w:rsidRPr="00E855C7">
        <w:rPr>
          <w:rFonts w:ascii="Times New Roman" w:eastAsia="Arial Unicode MS" w:hAnsi="Times New Roman" w:cs="Times New Roman"/>
          <w:b/>
          <w:bCs/>
          <w:kern w:val="1"/>
          <w:u w:val="single"/>
          <w:lang w:val="es-ES_tradnl" w:eastAsia="es-CR"/>
        </w:rPr>
        <w:t>-202</w:t>
      </w:r>
      <w:r w:rsidR="00D077C9" w:rsidRPr="00E855C7">
        <w:rPr>
          <w:rFonts w:ascii="Times New Roman" w:eastAsia="Arial Unicode MS" w:hAnsi="Times New Roman" w:cs="Times New Roman"/>
          <w:b/>
          <w:bCs/>
          <w:kern w:val="1"/>
          <w:u w:val="single"/>
          <w:lang w:val="es-ES_tradnl" w:eastAsia="es-CR"/>
        </w:rPr>
        <w:t>3</w:t>
      </w:r>
    </w:p>
    <w:p w14:paraId="60F8100D" w14:textId="77777777" w:rsidR="0008382F" w:rsidRPr="0008382F" w:rsidRDefault="0008382F" w:rsidP="0008382F">
      <w:pPr>
        <w:suppressAutoHyphens/>
        <w:spacing w:after="0" w:line="240" w:lineRule="auto"/>
        <w:ind w:firstLine="708"/>
        <w:jc w:val="both"/>
        <w:rPr>
          <w:rFonts w:ascii="Times New Roman" w:eastAsia="Times New Roman" w:hAnsi="Times New Roman" w:cs="Times New Roman"/>
          <w:bCs/>
          <w:sz w:val="24"/>
          <w:szCs w:val="24"/>
          <w:lang w:val="es-ES_tradnl" w:eastAsia="ar-SA"/>
        </w:rPr>
      </w:pPr>
    </w:p>
    <w:p w14:paraId="2A3D61D2" w14:textId="77777777" w:rsidR="0085621E" w:rsidRDefault="0008382F" w:rsidP="00A3330A">
      <w:pPr>
        <w:suppressAutoHyphens/>
        <w:spacing w:after="0" w:line="240" w:lineRule="auto"/>
        <w:ind w:firstLine="708"/>
        <w:jc w:val="both"/>
        <w:rPr>
          <w:rFonts w:ascii="Times New Roman" w:eastAsia="Times New Roman" w:hAnsi="Times New Roman" w:cs="Times New Roman"/>
          <w:sz w:val="24"/>
          <w:szCs w:val="24"/>
          <w:lang w:val="es-ES_tradnl" w:eastAsia="ar-SA"/>
        </w:rPr>
      </w:pPr>
      <w:r w:rsidRPr="0008382F">
        <w:rPr>
          <w:rFonts w:ascii="Times New Roman" w:eastAsia="Times New Roman" w:hAnsi="Times New Roman" w:cs="Times New Roman"/>
          <w:b/>
          <w:bCs/>
          <w:sz w:val="24"/>
          <w:szCs w:val="24"/>
          <w:u w:val="single"/>
          <w:lang w:val="es-ES_tradnl" w:eastAsia="ar-SA"/>
        </w:rPr>
        <w:t>Asunto</w:t>
      </w:r>
      <w:r w:rsidRPr="0008382F">
        <w:rPr>
          <w:rFonts w:ascii="Times New Roman" w:eastAsia="Times New Roman" w:hAnsi="Times New Roman" w:cs="Times New Roman"/>
          <w:b/>
          <w:bCs/>
          <w:sz w:val="24"/>
          <w:szCs w:val="24"/>
          <w:lang w:val="es-ES_tradnl" w:eastAsia="ar-SA"/>
        </w:rPr>
        <w:t>:</w:t>
      </w:r>
      <w:r w:rsidRPr="0008382F">
        <w:rPr>
          <w:rFonts w:ascii="Times New Roman" w:eastAsia="Times New Roman" w:hAnsi="Times New Roman" w:cs="Times New Roman"/>
          <w:sz w:val="24"/>
          <w:szCs w:val="24"/>
          <w:lang w:val="es-ES_tradnl" w:eastAsia="ar-SA"/>
        </w:rPr>
        <w:t xml:space="preserve"> Verificación del cumplimiento de las cuotas y cargas de trabajo</w:t>
      </w:r>
    </w:p>
    <w:p w14:paraId="226C5C7B" w14:textId="54B476C6" w:rsidR="0008382F" w:rsidRPr="0008382F" w:rsidRDefault="0008382F" w:rsidP="00A3330A">
      <w:pPr>
        <w:suppressAutoHyphens/>
        <w:spacing w:after="0" w:line="240" w:lineRule="auto"/>
        <w:ind w:firstLine="708"/>
        <w:jc w:val="both"/>
        <w:rPr>
          <w:rFonts w:ascii="Times New Roman" w:eastAsia="Times New Roman" w:hAnsi="Times New Roman" w:cs="Times New Roman"/>
          <w:sz w:val="24"/>
          <w:szCs w:val="24"/>
          <w:lang w:val="es-ES_tradnl" w:eastAsia="ar-SA"/>
        </w:rPr>
      </w:pPr>
      <w:r w:rsidRPr="0008382F">
        <w:rPr>
          <w:rFonts w:ascii="Times New Roman" w:eastAsia="Times New Roman" w:hAnsi="Times New Roman" w:cs="Times New Roman"/>
          <w:sz w:val="24"/>
          <w:szCs w:val="24"/>
          <w:lang w:val="es-ES_tradnl" w:eastAsia="ar-SA"/>
        </w:rPr>
        <w:t xml:space="preserve"> asignadas al personal de apoyo</w:t>
      </w:r>
    </w:p>
    <w:p w14:paraId="3224A876" w14:textId="77777777" w:rsidR="0008382F" w:rsidRPr="0008382F" w:rsidRDefault="0008382F" w:rsidP="0008382F">
      <w:pPr>
        <w:suppressAutoHyphens/>
        <w:spacing w:after="0" w:line="240" w:lineRule="auto"/>
        <w:jc w:val="both"/>
        <w:textAlignment w:val="baseline"/>
        <w:rPr>
          <w:rFonts w:ascii="Times New Roman" w:eastAsia="Times New Roman" w:hAnsi="Times New Roman" w:cs="Times New Roman"/>
          <w:sz w:val="24"/>
          <w:szCs w:val="24"/>
          <w:lang w:val="es-ES_tradnl" w:eastAsia="es-ES"/>
        </w:rPr>
      </w:pPr>
    </w:p>
    <w:p w14:paraId="435F7F2C" w14:textId="77777777" w:rsidR="0008382F" w:rsidRPr="0008382F" w:rsidRDefault="0008382F" w:rsidP="0008382F">
      <w:pPr>
        <w:suppressAutoHyphens/>
        <w:spacing w:after="0" w:line="240" w:lineRule="auto"/>
        <w:jc w:val="center"/>
        <w:rPr>
          <w:rFonts w:ascii="Times New Roman" w:eastAsia="Times New Roman" w:hAnsi="Times New Roman" w:cs="Times New Roman"/>
          <w:b/>
          <w:bCs/>
          <w:sz w:val="24"/>
          <w:szCs w:val="24"/>
          <w:u w:val="single"/>
          <w:lang w:val="es-ES_tradnl" w:eastAsia="ar-SA"/>
        </w:rPr>
      </w:pPr>
      <w:r w:rsidRPr="0008382F">
        <w:rPr>
          <w:rFonts w:ascii="Times New Roman" w:eastAsia="Times New Roman" w:hAnsi="Times New Roman" w:cs="Times New Roman"/>
          <w:b/>
          <w:bCs/>
          <w:sz w:val="24"/>
          <w:szCs w:val="24"/>
          <w:u w:val="single"/>
          <w:lang w:val="es-ES_tradnl" w:eastAsia="ar-SA"/>
        </w:rPr>
        <w:t>A TODAS LAS PERSONAS JUZGADORAS QUE EJERCEN LA COORDINACIÓN DE LOS DESPACHOS JUDICIALES Y PERSONAS COORDINADORAS JUDICIALES DEL PAÍS</w:t>
      </w:r>
    </w:p>
    <w:p w14:paraId="419E9FB0" w14:textId="77777777" w:rsidR="0008382F" w:rsidRPr="0008382F" w:rsidRDefault="0008382F" w:rsidP="0008382F">
      <w:pPr>
        <w:suppressAutoHyphens/>
        <w:spacing w:after="0" w:line="240" w:lineRule="auto"/>
        <w:jc w:val="center"/>
        <w:rPr>
          <w:rFonts w:ascii="Times New Roman" w:eastAsia="Times New Roman" w:hAnsi="Times New Roman" w:cs="Times New Roman"/>
          <w:b/>
          <w:bCs/>
          <w:sz w:val="24"/>
          <w:szCs w:val="24"/>
          <w:u w:val="single"/>
          <w:lang w:val="es-ES_tradnl" w:eastAsia="ar-SA"/>
        </w:rPr>
      </w:pPr>
    </w:p>
    <w:p w14:paraId="7D610192" w14:textId="77777777" w:rsidR="0008382F" w:rsidRPr="0008382F" w:rsidRDefault="0008382F" w:rsidP="0008382F">
      <w:pPr>
        <w:suppressAutoHyphens/>
        <w:spacing w:after="0" w:line="240" w:lineRule="auto"/>
        <w:jc w:val="center"/>
        <w:rPr>
          <w:rFonts w:ascii="Times New Roman" w:eastAsia="Times New Roman" w:hAnsi="Times New Roman" w:cs="Times New Roman"/>
          <w:b/>
          <w:bCs/>
          <w:sz w:val="24"/>
          <w:szCs w:val="24"/>
          <w:u w:val="single"/>
          <w:lang w:val="es-ES_tradnl" w:eastAsia="ar-SA"/>
        </w:rPr>
      </w:pPr>
      <w:r w:rsidRPr="0008382F">
        <w:rPr>
          <w:rFonts w:ascii="Times New Roman" w:eastAsia="Times New Roman" w:hAnsi="Times New Roman" w:cs="Times New Roman"/>
          <w:b/>
          <w:bCs/>
          <w:sz w:val="24"/>
          <w:szCs w:val="24"/>
          <w:u w:val="single"/>
          <w:lang w:val="es-ES_tradnl" w:eastAsia="ar-SA"/>
        </w:rPr>
        <w:t xml:space="preserve">SE LES HACE SABER QUE: </w:t>
      </w:r>
    </w:p>
    <w:p w14:paraId="0D8627B1" w14:textId="77777777" w:rsidR="0008382F" w:rsidRPr="0008382F" w:rsidRDefault="0008382F" w:rsidP="0008382F">
      <w:pPr>
        <w:suppressAutoHyphens/>
        <w:spacing w:after="0" w:line="240" w:lineRule="auto"/>
        <w:ind w:firstLine="709"/>
        <w:jc w:val="center"/>
        <w:rPr>
          <w:rFonts w:ascii="Times New Roman" w:eastAsia="Times New Roman" w:hAnsi="Times New Roman" w:cs="Times New Roman"/>
          <w:b/>
          <w:bCs/>
          <w:sz w:val="24"/>
          <w:szCs w:val="24"/>
          <w:lang w:val="es-ES_tradnl" w:eastAsia="ar-SA"/>
        </w:rPr>
      </w:pPr>
    </w:p>
    <w:p w14:paraId="6EAD6945" w14:textId="574DE9EB" w:rsidR="0008382F" w:rsidRPr="0008382F" w:rsidRDefault="0008382F" w:rsidP="0008382F">
      <w:pPr>
        <w:suppressAutoHyphens/>
        <w:spacing w:after="0" w:line="240" w:lineRule="auto"/>
        <w:ind w:firstLine="709"/>
        <w:jc w:val="both"/>
        <w:rPr>
          <w:rFonts w:ascii="Times New Roman" w:eastAsia="Times New Roman" w:hAnsi="Times New Roman" w:cs="Times New Roman"/>
          <w:sz w:val="24"/>
          <w:szCs w:val="24"/>
          <w:lang w:val="es-ES_tradnl" w:eastAsia="ar-SA"/>
        </w:rPr>
      </w:pPr>
      <w:r w:rsidRPr="0008382F">
        <w:rPr>
          <w:rFonts w:ascii="Times New Roman" w:eastAsia="Times New Roman" w:hAnsi="Times New Roman" w:cs="Times New Roman"/>
          <w:sz w:val="24"/>
          <w:szCs w:val="24"/>
          <w:lang w:val="es-ES_tradnl" w:eastAsia="ar-SA"/>
        </w:rPr>
        <w:t>El Consejo Superior</w:t>
      </w:r>
      <w:r w:rsidR="00AF1A82">
        <w:rPr>
          <w:rFonts w:ascii="Times New Roman" w:eastAsia="Times New Roman" w:hAnsi="Times New Roman" w:cs="Times New Roman"/>
          <w:sz w:val="24"/>
          <w:szCs w:val="24"/>
          <w:lang w:val="es-ES_tradnl" w:eastAsia="ar-SA"/>
        </w:rPr>
        <w:t>,</w:t>
      </w:r>
      <w:r w:rsidRPr="0008382F">
        <w:rPr>
          <w:rFonts w:ascii="Times New Roman" w:eastAsia="Times New Roman" w:hAnsi="Times New Roman" w:cs="Times New Roman"/>
          <w:sz w:val="24"/>
          <w:szCs w:val="24"/>
          <w:lang w:val="es-ES_tradnl" w:eastAsia="ar-SA"/>
        </w:rPr>
        <w:t xml:space="preserve"> en la sesión N°</w:t>
      </w:r>
      <w:r>
        <w:rPr>
          <w:rFonts w:ascii="Times New Roman" w:eastAsia="Times New Roman" w:hAnsi="Times New Roman" w:cs="Times New Roman"/>
          <w:sz w:val="24"/>
          <w:szCs w:val="24"/>
          <w:lang w:val="es-ES_tradnl" w:eastAsia="ar-SA"/>
        </w:rPr>
        <w:t>40</w:t>
      </w:r>
      <w:r w:rsidRPr="0008382F">
        <w:rPr>
          <w:rFonts w:ascii="Times New Roman" w:eastAsia="Times New Roman" w:hAnsi="Times New Roman" w:cs="Times New Roman"/>
          <w:sz w:val="24"/>
          <w:szCs w:val="24"/>
          <w:lang w:val="es-ES_tradnl" w:eastAsia="ar-SA"/>
        </w:rPr>
        <w:t>-2023 celebrada el 11 de mayo de 2023, artículo</w:t>
      </w:r>
      <w:r>
        <w:rPr>
          <w:rFonts w:ascii="Times New Roman" w:eastAsia="Times New Roman" w:hAnsi="Times New Roman" w:cs="Times New Roman"/>
          <w:sz w:val="24"/>
          <w:szCs w:val="24"/>
          <w:lang w:val="es-ES_tradnl" w:eastAsia="ar-SA"/>
        </w:rPr>
        <w:t xml:space="preserve"> XLII</w:t>
      </w:r>
      <w:r w:rsidRPr="0008382F">
        <w:rPr>
          <w:rFonts w:ascii="Times New Roman" w:eastAsia="Times New Roman" w:hAnsi="Times New Roman" w:cs="Times New Roman"/>
          <w:sz w:val="24"/>
          <w:szCs w:val="24"/>
          <w:lang w:val="es-ES_tradnl" w:eastAsia="ar-SA"/>
        </w:rPr>
        <w:t xml:space="preserve">, dispuso comunicar a las personas juzgadoras que ejercen el rol de coordinación y </w:t>
      </w:r>
      <w:r w:rsidR="00B22839">
        <w:rPr>
          <w:rFonts w:ascii="Times New Roman" w:eastAsia="Times New Roman" w:hAnsi="Times New Roman" w:cs="Times New Roman"/>
          <w:sz w:val="24"/>
          <w:szCs w:val="24"/>
          <w:lang w:val="es-ES_tradnl" w:eastAsia="ar-SA"/>
        </w:rPr>
        <w:t xml:space="preserve">personas </w:t>
      </w:r>
      <w:r w:rsidRPr="0008382F">
        <w:rPr>
          <w:rFonts w:ascii="Times New Roman" w:eastAsia="Times New Roman" w:hAnsi="Times New Roman" w:cs="Times New Roman"/>
          <w:sz w:val="24"/>
          <w:szCs w:val="24"/>
          <w:lang w:val="es-ES_tradnl" w:eastAsia="ar-SA"/>
        </w:rPr>
        <w:t>coordinadoras judiciales</w:t>
      </w:r>
      <w:r w:rsidR="00AF1A82">
        <w:rPr>
          <w:rFonts w:ascii="Times New Roman" w:eastAsia="Times New Roman" w:hAnsi="Times New Roman" w:cs="Times New Roman"/>
          <w:sz w:val="24"/>
          <w:szCs w:val="24"/>
          <w:lang w:val="es-ES_tradnl" w:eastAsia="ar-SA"/>
        </w:rPr>
        <w:t>,</w:t>
      </w:r>
      <w:r w:rsidRPr="0008382F">
        <w:rPr>
          <w:rFonts w:ascii="Times New Roman" w:eastAsia="Times New Roman" w:hAnsi="Times New Roman" w:cs="Times New Roman"/>
          <w:sz w:val="24"/>
          <w:szCs w:val="24"/>
          <w:lang w:val="es-ES_tradnl" w:eastAsia="ar-SA"/>
        </w:rPr>
        <w:t xml:space="preserve"> que tienen la responsabilidad de velar por el cumplimiento de las labores y cuotas de trabajo establecidas para las personas técnicas judiciales. </w:t>
      </w:r>
    </w:p>
    <w:p w14:paraId="0DAC7035"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sz w:val="24"/>
          <w:szCs w:val="24"/>
          <w:lang w:val="es-ES_tradnl" w:eastAsia="ar-SA"/>
        </w:rPr>
      </w:pPr>
    </w:p>
    <w:p w14:paraId="2B5969B6"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sz w:val="24"/>
          <w:szCs w:val="24"/>
          <w:lang w:val="es-ES_tradnl" w:eastAsia="ar-SA"/>
        </w:rPr>
      </w:pPr>
      <w:r w:rsidRPr="0008382F">
        <w:rPr>
          <w:rFonts w:ascii="Times New Roman" w:eastAsia="Times New Roman" w:hAnsi="Times New Roman" w:cs="Times New Roman"/>
          <w:sz w:val="24"/>
          <w:szCs w:val="24"/>
          <w:lang w:val="es-ES_tradnl" w:eastAsia="ar-SA"/>
        </w:rPr>
        <w:t xml:space="preserve">Lo anterior, en atención a las circulares de la Secretaría de la Corte N° 51-2007 sobre el perfil de los cargos de Asistente Judicial, (actualmente coordinadores judiciales), Juez Tramitador y Juez Coordinador, así como la circular N° 194-2020 que reitera la responsabilidad de las Juezas, Jueces Coordinadores y Consejo de Jueces, sobre el cumplimiento de las labores del personal técnico y la circular N° 230-2020 referente a los deberes de las juezas y jueces en el Modelo de Sostenibilidad en las oficinas y despachos judiciales.  </w:t>
      </w:r>
    </w:p>
    <w:p w14:paraId="20393765"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sz w:val="24"/>
          <w:szCs w:val="24"/>
          <w:lang w:val="es-ES_tradnl" w:eastAsia="ar-SA"/>
        </w:rPr>
      </w:pPr>
    </w:p>
    <w:p w14:paraId="4E0EF415" w14:textId="77777777" w:rsidR="0008382F" w:rsidRPr="0008382F" w:rsidRDefault="0008382F" w:rsidP="0008382F">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val="es-ES_tradnl" w:eastAsia="ar-SA"/>
        </w:rPr>
      </w:pPr>
      <w:r w:rsidRPr="0008382F">
        <w:rPr>
          <w:rFonts w:ascii="Times New Roman" w:eastAsia="Times New Roman" w:hAnsi="Times New Roman" w:cs="Times New Roman"/>
          <w:sz w:val="24"/>
          <w:szCs w:val="24"/>
          <w:lang w:val="es-ES_tradnl" w:eastAsia="ar-SA"/>
        </w:rPr>
        <w:t xml:space="preserve"> Además, en lo que respecta a la normativa la Ley Orgánica del Poder Judicial, cita en el artículo </w:t>
      </w:r>
      <w:proofErr w:type="gramStart"/>
      <w:r w:rsidRPr="0008382F">
        <w:rPr>
          <w:rFonts w:ascii="Times New Roman" w:eastAsia="Times New Roman" w:hAnsi="Times New Roman" w:cs="Times New Roman"/>
          <w:sz w:val="24"/>
          <w:szCs w:val="24"/>
          <w:lang w:val="es-ES_tradnl" w:eastAsia="ar-SA"/>
        </w:rPr>
        <w:t>3  que</w:t>
      </w:r>
      <w:proofErr w:type="gramEnd"/>
      <w:r w:rsidRPr="0008382F">
        <w:rPr>
          <w:rFonts w:ascii="Times New Roman" w:eastAsia="Times New Roman" w:hAnsi="Times New Roman" w:cs="Times New Roman"/>
          <w:sz w:val="24"/>
          <w:szCs w:val="24"/>
          <w:lang w:val="es-ES_tradnl" w:eastAsia="ar-SA"/>
        </w:rPr>
        <w:t xml:space="preserve"> “</w:t>
      </w:r>
      <w:r w:rsidRPr="0008382F">
        <w:rPr>
          <w:rFonts w:ascii="Times New Roman" w:eastAsia="Times New Roman" w:hAnsi="Times New Roman" w:cs="Times New Roman"/>
          <w:i/>
          <w:iCs/>
          <w:sz w:val="24"/>
          <w:szCs w:val="24"/>
          <w:lang w:val="es-ES_tradnl" w:eastAsia="ar-SA"/>
        </w:rPr>
        <w:t>El coordinador distribuirá la carga de trabajo, aplicando los criterios que hayan fijado los jueces con anterioridad y buscando siempre la mayor equidad.”</w:t>
      </w:r>
    </w:p>
    <w:p w14:paraId="2EB6B407"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sz w:val="24"/>
          <w:szCs w:val="24"/>
          <w:lang w:val="es-ES_tradnl" w:eastAsia="ar-SA"/>
        </w:rPr>
      </w:pPr>
    </w:p>
    <w:p w14:paraId="322547B0" w14:textId="77777777" w:rsidR="0008382F" w:rsidRPr="0008382F" w:rsidRDefault="0008382F" w:rsidP="0008382F">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val="es-ES" w:eastAsia="ar-SA"/>
        </w:rPr>
      </w:pPr>
      <w:r w:rsidRPr="0008382F">
        <w:rPr>
          <w:rFonts w:ascii="Times New Roman" w:eastAsia="Times New Roman" w:hAnsi="Times New Roman" w:cs="Times New Roman"/>
          <w:sz w:val="24"/>
          <w:szCs w:val="24"/>
          <w:lang w:val="es-ES_tradnl" w:eastAsia="ar-SA"/>
        </w:rPr>
        <w:t>De igual forma,</w:t>
      </w:r>
      <w:r w:rsidRPr="0008382F">
        <w:rPr>
          <w:rFonts w:ascii="Times New Roman" w:eastAsia="Times New Roman" w:hAnsi="Times New Roman" w:cs="Times New Roman"/>
          <w:sz w:val="24"/>
          <w:szCs w:val="24"/>
          <w:lang w:val="es-ES" w:eastAsia="ar-SA"/>
        </w:rPr>
        <w:t xml:space="preserve"> el numeral 5 de Reglamento de Organización y Funcionamiento de los Consejos de </w:t>
      </w:r>
      <w:proofErr w:type="gramStart"/>
      <w:r w:rsidRPr="0008382F">
        <w:rPr>
          <w:rFonts w:ascii="Times New Roman" w:eastAsia="Times New Roman" w:hAnsi="Times New Roman" w:cs="Times New Roman"/>
          <w:sz w:val="24"/>
          <w:szCs w:val="24"/>
          <w:lang w:val="es-ES" w:eastAsia="ar-SA"/>
        </w:rPr>
        <w:t>Jueces y Juezas</w:t>
      </w:r>
      <w:proofErr w:type="gramEnd"/>
      <w:r w:rsidRPr="0008382F">
        <w:rPr>
          <w:rFonts w:ascii="Times New Roman" w:eastAsia="Times New Roman" w:hAnsi="Times New Roman" w:cs="Times New Roman"/>
          <w:sz w:val="24"/>
          <w:szCs w:val="24"/>
          <w:lang w:val="es-ES" w:eastAsia="ar-SA"/>
        </w:rPr>
        <w:t xml:space="preserve"> de la República, sobre las competencias del Consejo de Jueces y Juezas, indica en su inciso tercero:</w:t>
      </w:r>
    </w:p>
    <w:p w14:paraId="5B3BE7EE"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sz w:val="24"/>
          <w:szCs w:val="24"/>
          <w:lang w:val="es-ES_tradnl" w:eastAsia="ar-SA"/>
        </w:rPr>
      </w:pPr>
    </w:p>
    <w:p w14:paraId="243D69C2" w14:textId="77777777" w:rsidR="0008382F" w:rsidRPr="0008382F" w:rsidRDefault="0008382F" w:rsidP="0008382F">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val="es-ES_tradnl" w:eastAsia="ar-SA"/>
        </w:rPr>
      </w:pPr>
      <w:r w:rsidRPr="0008382F">
        <w:rPr>
          <w:rFonts w:ascii="Times New Roman" w:eastAsia="Times New Roman" w:hAnsi="Times New Roman" w:cs="Times New Roman"/>
          <w:i/>
          <w:iCs/>
          <w:sz w:val="24"/>
          <w:szCs w:val="24"/>
          <w:lang w:val="es-ES_tradnl" w:eastAsia="ar-SA"/>
        </w:rPr>
        <w:t>“</w:t>
      </w:r>
      <w:r w:rsidRPr="0008382F">
        <w:rPr>
          <w:rFonts w:ascii="Times New Roman" w:eastAsia="Times New Roman" w:hAnsi="Times New Roman" w:cs="Times New Roman"/>
          <w:sz w:val="24"/>
          <w:szCs w:val="24"/>
          <w:lang w:val="es-ES_tradnl" w:eastAsia="ar-SA"/>
        </w:rPr>
        <w:t>3</w:t>
      </w:r>
      <w:r w:rsidRPr="0008382F">
        <w:rPr>
          <w:rFonts w:ascii="Times New Roman" w:eastAsia="Times New Roman" w:hAnsi="Times New Roman" w:cs="Times New Roman"/>
          <w:i/>
          <w:iCs/>
          <w:sz w:val="24"/>
          <w:szCs w:val="24"/>
          <w:lang w:val="es-ES_tradnl" w:eastAsia="ar-SA"/>
        </w:rPr>
        <w:t>) Ejecutar los mecanismos para la distribución de las cargas de trabajo. Cuando se detecte algún atraso en el rendimiento del Despacho, adoptará las medidas que corresponda.”</w:t>
      </w:r>
    </w:p>
    <w:p w14:paraId="630EF836"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sz w:val="24"/>
          <w:szCs w:val="24"/>
          <w:lang w:val="es-ES_tradnl" w:eastAsia="ar-SA"/>
        </w:rPr>
      </w:pPr>
    </w:p>
    <w:p w14:paraId="50552D6C"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sz w:val="24"/>
          <w:szCs w:val="24"/>
          <w:lang w:val="es-ES_tradnl" w:eastAsia="ar-SA"/>
        </w:rPr>
      </w:pPr>
      <w:r w:rsidRPr="0008382F">
        <w:rPr>
          <w:rFonts w:ascii="Times New Roman" w:eastAsia="Times New Roman" w:hAnsi="Times New Roman" w:cs="Times New Roman"/>
          <w:sz w:val="24"/>
          <w:szCs w:val="24"/>
          <w:lang w:val="es-ES_tradnl" w:eastAsia="ar-SA"/>
        </w:rPr>
        <w:t>Por el último, refiere el Manual Descriptivo de Clases de Puestos para las personas juzgadoras que asumen la coordinación de cada despacho y las personas nombradas en los puestos de Coordinadores Judiciales.</w:t>
      </w:r>
    </w:p>
    <w:p w14:paraId="6EBC6119"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sz w:val="24"/>
          <w:szCs w:val="24"/>
          <w:lang w:val="es-ES_tradnl" w:eastAsia="ar-SA"/>
        </w:rPr>
      </w:pPr>
    </w:p>
    <w:p w14:paraId="4BE5E641" w14:textId="77777777" w:rsidR="0008382F" w:rsidRPr="0008382F" w:rsidRDefault="0008382F" w:rsidP="0008382F">
      <w:pPr>
        <w:numPr>
          <w:ilvl w:val="0"/>
          <w:numId w:val="1"/>
        </w:numPr>
        <w:suppressAutoHyphens/>
        <w:spacing w:after="0" w:line="240" w:lineRule="auto"/>
        <w:ind w:left="0" w:firstLine="709"/>
        <w:jc w:val="both"/>
        <w:rPr>
          <w:rFonts w:ascii="Times New Roman" w:eastAsia="Times New Roman" w:hAnsi="Times New Roman" w:cs="Times New Roman"/>
          <w:sz w:val="24"/>
          <w:szCs w:val="24"/>
          <w:lang w:val="es-ES" w:eastAsia="ar-SA"/>
        </w:rPr>
      </w:pPr>
      <w:r w:rsidRPr="0008382F">
        <w:rPr>
          <w:rFonts w:ascii="Times New Roman" w:eastAsia="Times New Roman" w:hAnsi="Times New Roman" w:cs="Times New Roman"/>
          <w:sz w:val="24"/>
          <w:szCs w:val="24"/>
          <w:lang w:val="es-ES" w:eastAsia="ar-SA"/>
        </w:rPr>
        <w:t xml:space="preserve">El personal juzgador coordinador deberá: </w:t>
      </w:r>
    </w:p>
    <w:p w14:paraId="4DBF344A"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sz w:val="24"/>
          <w:szCs w:val="24"/>
          <w:lang w:val="es-ES_tradnl" w:eastAsia="ar-SA"/>
        </w:rPr>
      </w:pPr>
    </w:p>
    <w:p w14:paraId="3B45CB35"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i/>
          <w:iCs/>
          <w:sz w:val="24"/>
          <w:szCs w:val="24"/>
          <w:lang w:val="es-ES_tradnl" w:eastAsia="ar-SA"/>
        </w:rPr>
      </w:pPr>
      <w:r w:rsidRPr="0008382F">
        <w:rPr>
          <w:rFonts w:ascii="Times New Roman" w:eastAsia="Times New Roman" w:hAnsi="Times New Roman" w:cs="Times New Roman"/>
          <w:sz w:val="24"/>
          <w:szCs w:val="24"/>
          <w:lang w:val="es-ES_tradnl" w:eastAsia="ar-SA"/>
        </w:rPr>
        <w:t>“</w:t>
      </w:r>
      <w:r w:rsidRPr="0008382F">
        <w:rPr>
          <w:rFonts w:ascii="Times New Roman" w:eastAsia="Times New Roman" w:hAnsi="Times New Roman" w:cs="Times New Roman"/>
          <w:i/>
          <w:iCs/>
          <w:sz w:val="24"/>
          <w:szCs w:val="24"/>
          <w:lang w:val="es-ES_tradnl" w:eastAsia="ar-SA"/>
        </w:rPr>
        <w:t>Velar por el cumplimiento de las labores y el rendimiento de todos los servidores del despacho”</w:t>
      </w:r>
    </w:p>
    <w:p w14:paraId="7F917F4D"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i/>
          <w:iCs/>
          <w:sz w:val="24"/>
          <w:szCs w:val="24"/>
          <w:lang w:val="es-ES_tradnl" w:eastAsia="ar-SA"/>
        </w:rPr>
      </w:pPr>
    </w:p>
    <w:p w14:paraId="0BCD9F04"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i/>
          <w:iCs/>
          <w:sz w:val="24"/>
          <w:szCs w:val="24"/>
          <w:lang w:val="es-ES_tradnl" w:eastAsia="ar-SA"/>
        </w:rPr>
      </w:pPr>
      <w:r w:rsidRPr="0008382F">
        <w:rPr>
          <w:rFonts w:ascii="Times New Roman" w:eastAsia="Times New Roman" w:hAnsi="Times New Roman" w:cs="Times New Roman"/>
          <w:i/>
          <w:iCs/>
          <w:sz w:val="24"/>
          <w:szCs w:val="24"/>
          <w:lang w:val="es-ES_tradnl" w:eastAsia="ar-SA"/>
        </w:rPr>
        <w:lastRenderedPageBreak/>
        <w:t>“Coordinar con el Juez Tramitador todo lo relacionado con el personal de apoyo, cargas de trabajo, funciones, reorganización de labores, aspectos de organización y otros que sean de interés para el mejor desempeño del despacho.”</w:t>
      </w:r>
    </w:p>
    <w:p w14:paraId="6A5A219C"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i/>
          <w:iCs/>
          <w:sz w:val="24"/>
          <w:szCs w:val="24"/>
          <w:lang w:val="es-ES_tradnl" w:eastAsia="ar-SA"/>
        </w:rPr>
      </w:pPr>
    </w:p>
    <w:p w14:paraId="1EC8509D" w14:textId="77777777" w:rsidR="0008382F" w:rsidRPr="0008382F" w:rsidRDefault="0008382F" w:rsidP="0008382F">
      <w:pPr>
        <w:numPr>
          <w:ilvl w:val="0"/>
          <w:numId w:val="1"/>
        </w:numPr>
        <w:suppressAutoHyphens/>
        <w:spacing w:after="0" w:line="240" w:lineRule="auto"/>
        <w:ind w:left="0" w:firstLine="709"/>
        <w:jc w:val="both"/>
        <w:rPr>
          <w:rFonts w:ascii="Times New Roman" w:eastAsia="Times New Roman" w:hAnsi="Times New Roman" w:cs="Times New Roman"/>
          <w:sz w:val="24"/>
          <w:szCs w:val="24"/>
          <w:lang w:val="es-ES" w:eastAsia="ar-SA"/>
        </w:rPr>
      </w:pPr>
      <w:r w:rsidRPr="0008382F">
        <w:rPr>
          <w:rFonts w:ascii="Times New Roman" w:eastAsia="Times New Roman" w:hAnsi="Times New Roman" w:cs="Times New Roman"/>
          <w:sz w:val="24"/>
          <w:szCs w:val="24"/>
          <w:lang w:val="es-ES" w:eastAsia="ar-SA"/>
        </w:rPr>
        <w:t xml:space="preserve">El personal coordinador judicial deberá: </w:t>
      </w:r>
    </w:p>
    <w:p w14:paraId="05C962F1"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sz w:val="24"/>
          <w:szCs w:val="24"/>
          <w:lang w:val="es-ES_tradnl" w:eastAsia="ar-SA"/>
        </w:rPr>
      </w:pPr>
    </w:p>
    <w:p w14:paraId="19E56B1B"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i/>
          <w:iCs/>
          <w:sz w:val="24"/>
          <w:szCs w:val="24"/>
          <w:lang w:val="es-ES_tradnl" w:eastAsia="ar-SA"/>
        </w:rPr>
      </w:pPr>
      <w:r w:rsidRPr="0008382F">
        <w:rPr>
          <w:rFonts w:ascii="Times New Roman" w:eastAsia="Times New Roman" w:hAnsi="Times New Roman" w:cs="Times New Roman"/>
          <w:i/>
          <w:iCs/>
          <w:sz w:val="24"/>
          <w:szCs w:val="24"/>
          <w:lang w:val="es-ES_tradnl" w:eastAsia="ar-SA"/>
        </w:rPr>
        <w:t>“Coordinar, asignar, dirigir, supervisar y controlar el trabajo del personal de menor nivel según las directrices del superior inmediato.”</w:t>
      </w:r>
    </w:p>
    <w:p w14:paraId="114A9D17"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i/>
          <w:iCs/>
          <w:sz w:val="24"/>
          <w:szCs w:val="24"/>
          <w:lang w:val="es-ES_tradnl" w:eastAsia="ar-SA"/>
        </w:rPr>
      </w:pPr>
    </w:p>
    <w:p w14:paraId="76792A42"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i/>
          <w:iCs/>
          <w:sz w:val="24"/>
          <w:szCs w:val="24"/>
          <w:lang w:val="es-ES_tradnl" w:eastAsia="ar-SA"/>
        </w:rPr>
      </w:pPr>
      <w:r w:rsidRPr="0008382F">
        <w:rPr>
          <w:rFonts w:ascii="Times New Roman" w:eastAsia="Times New Roman" w:hAnsi="Times New Roman" w:cs="Times New Roman"/>
          <w:i/>
          <w:iCs/>
          <w:sz w:val="24"/>
          <w:szCs w:val="24"/>
          <w:lang w:val="es-ES_tradnl" w:eastAsia="ar-SA"/>
        </w:rPr>
        <w:t>“Supervisar de forma periódica la carga de trabajo del personal técnico y profesional del despacho”</w:t>
      </w:r>
    </w:p>
    <w:p w14:paraId="21571AF1"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i/>
          <w:iCs/>
          <w:sz w:val="24"/>
          <w:szCs w:val="24"/>
          <w:lang w:val="es-ES_tradnl" w:eastAsia="ar-SA"/>
        </w:rPr>
      </w:pPr>
    </w:p>
    <w:p w14:paraId="25B157DC" w14:textId="77777777" w:rsidR="0008382F" w:rsidRPr="0008382F" w:rsidRDefault="0008382F" w:rsidP="0008382F">
      <w:pPr>
        <w:suppressAutoHyphens/>
        <w:spacing w:after="0" w:line="240" w:lineRule="auto"/>
        <w:ind w:firstLine="709"/>
        <w:jc w:val="both"/>
        <w:rPr>
          <w:rFonts w:ascii="Times New Roman" w:eastAsia="Times New Roman" w:hAnsi="Times New Roman" w:cs="Times New Roman"/>
          <w:bCs/>
          <w:sz w:val="24"/>
          <w:szCs w:val="24"/>
          <w:lang w:val="es-ES_tradnl" w:eastAsia="ar-SA"/>
        </w:rPr>
      </w:pPr>
      <w:r w:rsidRPr="0008382F">
        <w:rPr>
          <w:rFonts w:ascii="Times New Roman" w:eastAsia="Times New Roman" w:hAnsi="Times New Roman" w:cs="Times New Roman"/>
          <w:sz w:val="24"/>
          <w:szCs w:val="24"/>
          <w:lang w:val="es-ES_tradnl" w:eastAsia="ar-SA"/>
        </w:rPr>
        <w:t>Por lo tanto, en caso de detectar algún incumplimiento, deberán adoptar las medidas correctivas mediante los planes remediales correspondientes y proceder con el comunicado a las instancias administrativas con el fin de valorar la aplicación del régimen disciplinario tomando en consideración las directrices existentes.</w:t>
      </w:r>
      <w:r w:rsidRPr="0008382F">
        <w:rPr>
          <w:rFonts w:ascii="Times New Roman" w:eastAsia="Times New Roman" w:hAnsi="Times New Roman" w:cs="Times New Roman"/>
          <w:bCs/>
          <w:sz w:val="24"/>
          <w:szCs w:val="24"/>
          <w:lang w:val="es-ES_tradnl" w:eastAsia="ar-SA"/>
        </w:rPr>
        <w:t>”</w:t>
      </w:r>
    </w:p>
    <w:p w14:paraId="1FEA1542" w14:textId="77777777" w:rsidR="00E855C7" w:rsidRPr="00E855C7" w:rsidRDefault="00E855C7" w:rsidP="00E855C7">
      <w:pPr>
        <w:shd w:val="clear" w:color="auto" w:fill="FFFFFF"/>
        <w:spacing w:after="0" w:line="240" w:lineRule="auto"/>
        <w:ind w:left="851" w:right="851" w:firstLine="709"/>
        <w:jc w:val="both"/>
        <w:rPr>
          <w:rFonts w:ascii="Times New Roman" w:eastAsia="Calibri" w:hAnsi="Times New Roman" w:cs="Times New Roman"/>
          <w:shd w:val="clear" w:color="auto" w:fill="FFFFFF"/>
          <w:lang w:eastAsia="zh-CN"/>
        </w:rPr>
      </w:pPr>
    </w:p>
    <w:p w14:paraId="4AF6B4CD" w14:textId="77777777" w:rsidR="00E855C7" w:rsidRPr="00E855C7" w:rsidRDefault="00E855C7" w:rsidP="00A3330A">
      <w:pPr>
        <w:spacing w:after="0" w:line="240" w:lineRule="auto"/>
        <w:ind w:firstLine="708"/>
        <w:jc w:val="both"/>
        <w:rPr>
          <w:rFonts w:ascii="Times New Roman" w:eastAsia="Calibri" w:hAnsi="Times New Roman" w:cs="Times New Roman"/>
          <w:b/>
          <w:bCs/>
          <w:lang w:eastAsia="es-CR"/>
        </w:rPr>
      </w:pPr>
      <w:r w:rsidRPr="00E855C7">
        <w:rPr>
          <w:rFonts w:ascii="Times New Roman" w:eastAsia="Calibri" w:hAnsi="Times New Roman" w:cs="Times New Roman"/>
          <w:b/>
          <w:bCs/>
          <w:lang w:eastAsia="es-CR"/>
        </w:rPr>
        <w:t>De conformidad con la circular N° 67-09 emitida por la Secretaría de la Corte el 22 de junio de 2009, se le comunica que en virtud del principio de gratuidad que rige esta materia, la publicación está exenta de todo pago de derechos.</w:t>
      </w:r>
    </w:p>
    <w:p w14:paraId="7582EA8C" w14:textId="77777777" w:rsidR="00E855C7" w:rsidRPr="00E855C7" w:rsidRDefault="00E855C7" w:rsidP="00E855C7">
      <w:pPr>
        <w:spacing w:after="0" w:line="240" w:lineRule="auto"/>
        <w:jc w:val="both"/>
        <w:rPr>
          <w:rFonts w:ascii="Times New Roman" w:eastAsia="Calibri" w:hAnsi="Times New Roman" w:cs="Times New Roman"/>
          <w:b/>
          <w:bCs/>
          <w:lang w:eastAsia="es-CR"/>
        </w:rPr>
      </w:pPr>
    </w:p>
    <w:p w14:paraId="3A6CE10A" w14:textId="77777777" w:rsidR="00E855C7" w:rsidRPr="00E855C7" w:rsidRDefault="00E855C7" w:rsidP="00E855C7">
      <w:pPr>
        <w:spacing w:after="0" w:line="240" w:lineRule="auto"/>
        <w:jc w:val="both"/>
        <w:rPr>
          <w:rFonts w:ascii="Times New Roman" w:eastAsia="Calibri" w:hAnsi="Times New Roman" w:cs="Times New Roman"/>
          <w:b/>
          <w:bCs/>
          <w:lang w:eastAsia="es-CR"/>
        </w:rPr>
      </w:pPr>
      <w:r w:rsidRPr="00E855C7">
        <w:rPr>
          <w:rFonts w:ascii="Times New Roman" w:eastAsia="Calibri" w:hAnsi="Times New Roman" w:cs="Times New Roman"/>
          <w:b/>
          <w:bCs/>
          <w:lang w:eastAsia="es-CR"/>
        </w:rPr>
        <w:t>Publíquese una sola vez en el Boletín Judicial.</w:t>
      </w:r>
    </w:p>
    <w:p w14:paraId="7E0210EC" w14:textId="77777777" w:rsidR="00E855C7" w:rsidRPr="00E855C7" w:rsidRDefault="00E855C7" w:rsidP="00E855C7">
      <w:pPr>
        <w:spacing w:after="0" w:line="240" w:lineRule="auto"/>
        <w:jc w:val="both"/>
        <w:rPr>
          <w:rFonts w:ascii="Times New Roman" w:eastAsia="Calibri" w:hAnsi="Times New Roman" w:cs="Times New Roman"/>
          <w:b/>
          <w:bCs/>
          <w:lang w:eastAsia="es-CR"/>
        </w:rPr>
      </w:pPr>
    </w:p>
    <w:p w14:paraId="30503B33" w14:textId="6B1B389D" w:rsidR="00E855C7" w:rsidRPr="00E855C7" w:rsidRDefault="00E855C7" w:rsidP="00E855C7">
      <w:pPr>
        <w:spacing w:after="0" w:line="240" w:lineRule="auto"/>
        <w:rPr>
          <w:rFonts w:ascii="Times New Roman" w:eastAsia="Calibri" w:hAnsi="Times New Roman" w:cs="Times New Roman"/>
          <w:b/>
          <w:bCs/>
          <w:lang w:eastAsia="es-CR"/>
        </w:rPr>
      </w:pPr>
      <w:r w:rsidRPr="00E855C7">
        <w:rPr>
          <w:rFonts w:ascii="Times New Roman" w:eastAsia="Calibri" w:hAnsi="Times New Roman" w:cs="Times New Roman"/>
          <w:b/>
          <w:bCs/>
          <w:lang w:eastAsia="es-CR"/>
        </w:rPr>
        <w:t xml:space="preserve">San José, </w:t>
      </w:r>
      <w:r w:rsidR="0008382F">
        <w:rPr>
          <w:rFonts w:ascii="Times New Roman" w:eastAsia="Calibri" w:hAnsi="Times New Roman" w:cs="Times New Roman"/>
          <w:b/>
          <w:bCs/>
          <w:lang w:eastAsia="es-CR"/>
        </w:rPr>
        <w:t>6</w:t>
      </w:r>
      <w:r w:rsidRPr="00E855C7">
        <w:rPr>
          <w:rFonts w:ascii="Times New Roman" w:eastAsia="Calibri" w:hAnsi="Times New Roman" w:cs="Times New Roman"/>
          <w:b/>
          <w:bCs/>
          <w:lang w:eastAsia="es-CR"/>
        </w:rPr>
        <w:t xml:space="preserve"> de </w:t>
      </w:r>
      <w:r w:rsidR="0008382F">
        <w:rPr>
          <w:rFonts w:ascii="Times New Roman" w:eastAsia="Calibri" w:hAnsi="Times New Roman" w:cs="Times New Roman"/>
          <w:b/>
          <w:bCs/>
          <w:lang w:eastAsia="es-CR"/>
        </w:rPr>
        <w:t>junio</w:t>
      </w:r>
      <w:r w:rsidRPr="00E855C7">
        <w:rPr>
          <w:rFonts w:ascii="Times New Roman" w:eastAsia="Calibri" w:hAnsi="Times New Roman" w:cs="Times New Roman"/>
          <w:b/>
          <w:bCs/>
          <w:lang w:eastAsia="es-CR"/>
        </w:rPr>
        <w:t xml:space="preserve"> de 2023</w:t>
      </w:r>
    </w:p>
    <w:p w14:paraId="10FBEAF9" w14:textId="77777777" w:rsidR="00E855C7" w:rsidRPr="00E855C7" w:rsidRDefault="00E855C7" w:rsidP="00E855C7">
      <w:pPr>
        <w:spacing w:after="0" w:line="240" w:lineRule="auto"/>
        <w:jc w:val="both"/>
        <w:rPr>
          <w:rFonts w:ascii="Times New Roman" w:eastAsia="Calibri" w:hAnsi="Times New Roman" w:cs="Times New Roman"/>
          <w:lang w:eastAsia="ar-SA"/>
        </w:rPr>
      </w:pPr>
    </w:p>
    <w:p w14:paraId="2B7204F6" w14:textId="1346BD9A" w:rsidR="00E855C7" w:rsidRDefault="00E855C7" w:rsidP="00E855C7">
      <w:pPr>
        <w:spacing w:after="0" w:line="240" w:lineRule="auto"/>
        <w:jc w:val="both"/>
        <w:rPr>
          <w:rFonts w:ascii="Times New Roman" w:eastAsia="Calibri" w:hAnsi="Times New Roman" w:cs="Times New Roman"/>
        </w:rPr>
      </w:pPr>
    </w:p>
    <w:p w14:paraId="1BE480C2" w14:textId="77777777" w:rsidR="00A3330A" w:rsidRDefault="00A3330A" w:rsidP="00E855C7">
      <w:pPr>
        <w:spacing w:after="0" w:line="240" w:lineRule="auto"/>
        <w:jc w:val="both"/>
        <w:rPr>
          <w:rFonts w:ascii="Times New Roman" w:eastAsia="Calibri" w:hAnsi="Times New Roman" w:cs="Times New Roman"/>
        </w:rPr>
      </w:pPr>
    </w:p>
    <w:p w14:paraId="46024725" w14:textId="607023C4" w:rsidR="00F115CC" w:rsidRDefault="00F115CC" w:rsidP="00E855C7">
      <w:pPr>
        <w:spacing w:after="0" w:line="240" w:lineRule="auto"/>
        <w:jc w:val="both"/>
        <w:rPr>
          <w:rFonts w:ascii="Times New Roman" w:eastAsia="Calibri" w:hAnsi="Times New Roman" w:cs="Times New Roman"/>
        </w:rPr>
      </w:pPr>
    </w:p>
    <w:p w14:paraId="4919016D" w14:textId="77777777" w:rsidR="00F115CC" w:rsidRPr="00E855C7" w:rsidRDefault="00F115CC" w:rsidP="00E855C7">
      <w:pPr>
        <w:spacing w:after="0" w:line="240" w:lineRule="auto"/>
        <w:jc w:val="both"/>
        <w:rPr>
          <w:rFonts w:ascii="Times New Roman" w:eastAsia="Calibri" w:hAnsi="Times New Roman" w:cs="Times New Roman"/>
        </w:rPr>
      </w:pPr>
    </w:p>
    <w:p w14:paraId="150DAE34" w14:textId="77777777" w:rsidR="00F115CC" w:rsidRPr="00F115CC" w:rsidRDefault="00F115CC" w:rsidP="00A3330A">
      <w:pPr>
        <w:widowControl w:val="0"/>
        <w:suppressAutoHyphens/>
        <w:spacing w:after="0" w:line="240" w:lineRule="auto"/>
        <w:jc w:val="center"/>
        <w:rPr>
          <w:rFonts w:ascii="Times New Roman" w:eastAsia="Arial Unicode MS" w:hAnsi="Times New Roman" w:cs="Times New Roman"/>
          <w:b/>
          <w:bCs/>
          <w:kern w:val="2"/>
          <w:lang w:val="es-ES_tradnl"/>
        </w:rPr>
      </w:pPr>
      <w:r w:rsidRPr="00F115CC">
        <w:rPr>
          <w:rFonts w:ascii="Times New Roman" w:eastAsia="Arial Unicode MS" w:hAnsi="Times New Roman" w:cs="Times New Roman"/>
          <w:b/>
          <w:bCs/>
          <w:kern w:val="2"/>
          <w:lang w:val="es-ES_tradnl"/>
        </w:rPr>
        <w:t>Lic. Carlos T. Mora Rodríguez</w:t>
      </w:r>
    </w:p>
    <w:p w14:paraId="48E0CF6B" w14:textId="77777777" w:rsidR="00F115CC" w:rsidRPr="00F115CC" w:rsidRDefault="00F115CC" w:rsidP="00A3330A">
      <w:pPr>
        <w:widowControl w:val="0"/>
        <w:suppressAutoHyphens/>
        <w:spacing w:after="0" w:line="240" w:lineRule="auto"/>
        <w:jc w:val="center"/>
        <w:rPr>
          <w:rFonts w:ascii="Times New Roman" w:eastAsia="Arial Unicode MS" w:hAnsi="Times New Roman" w:cs="Times New Roman"/>
          <w:b/>
          <w:bCs/>
          <w:kern w:val="2"/>
          <w:lang w:val="es-ES_tradnl"/>
        </w:rPr>
      </w:pPr>
      <w:r w:rsidRPr="00F115CC">
        <w:rPr>
          <w:rFonts w:ascii="Times New Roman" w:eastAsia="Arial Unicode MS" w:hAnsi="Times New Roman" w:cs="Times New Roman"/>
          <w:b/>
          <w:bCs/>
          <w:kern w:val="2"/>
          <w:lang w:val="es-ES_tradnl"/>
        </w:rPr>
        <w:t>Subsecretario General interino</w:t>
      </w:r>
    </w:p>
    <w:p w14:paraId="73821422" w14:textId="77777777" w:rsidR="00F115CC" w:rsidRPr="00F115CC" w:rsidRDefault="00F115CC" w:rsidP="00A3330A">
      <w:pPr>
        <w:widowControl w:val="0"/>
        <w:suppressAutoHyphens/>
        <w:spacing w:after="0" w:line="240" w:lineRule="auto"/>
        <w:jc w:val="center"/>
        <w:rPr>
          <w:rFonts w:ascii="Times New Roman" w:eastAsia="Arial Unicode MS" w:hAnsi="Times New Roman" w:cs="Times New Roman"/>
          <w:b/>
          <w:bCs/>
          <w:kern w:val="2"/>
          <w:lang w:val="es-ES_tradnl"/>
        </w:rPr>
      </w:pPr>
      <w:r w:rsidRPr="00F115CC">
        <w:rPr>
          <w:rFonts w:ascii="Times New Roman" w:eastAsia="Arial Unicode MS" w:hAnsi="Times New Roman" w:cs="Times New Roman"/>
          <w:b/>
          <w:bCs/>
          <w:kern w:val="2"/>
          <w:lang w:val="es-ES_tradnl"/>
        </w:rPr>
        <w:t>Corte Suprema de Justicia</w:t>
      </w:r>
    </w:p>
    <w:p w14:paraId="5035152D" w14:textId="77777777" w:rsidR="00E855C7" w:rsidRPr="00E855C7" w:rsidRDefault="00E855C7" w:rsidP="00E855C7">
      <w:pPr>
        <w:spacing w:after="0" w:line="240" w:lineRule="auto"/>
        <w:rPr>
          <w:rFonts w:ascii="Times New Roman" w:eastAsia="Calibri" w:hAnsi="Times New Roman" w:cs="Times New Roman"/>
          <w:i/>
          <w:iCs/>
          <w:lang w:eastAsia="es-CR"/>
        </w:rPr>
      </w:pPr>
    </w:p>
    <w:p w14:paraId="1F7A47F3" w14:textId="14DBAF4D" w:rsidR="00E855C7" w:rsidRPr="00E855C7" w:rsidRDefault="00E855C7" w:rsidP="00E855C7">
      <w:pPr>
        <w:spacing w:after="0" w:line="240" w:lineRule="auto"/>
        <w:jc w:val="both"/>
        <w:rPr>
          <w:rFonts w:ascii="Times New Roman" w:eastAsia="Calibri" w:hAnsi="Times New Roman" w:cs="Times New Roman"/>
          <w:lang w:eastAsia="ar-SA"/>
        </w:rPr>
      </w:pPr>
      <w:r w:rsidRPr="00E855C7">
        <w:rPr>
          <w:rFonts w:ascii="Times New Roman" w:eastAsia="Calibri" w:hAnsi="Times New Roman" w:cs="Times New Roman"/>
        </w:rPr>
        <w:t xml:space="preserve">Diligencias / </w:t>
      </w:r>
      <w:proofErr w:type="spellStart"/>
      <w:r w:rsidRPr="00E855C7">
        <w:rPr>
          <w:rFonts w:ascii="Times New Roman" w:eastAsia="Calibri" w:hAnsi="Times New Roman" w:cs="Times New Roman"/>
          <w:b/>
          <w:bCs/>
        </w:rPr>
        <w:t>Refs</w:t>
      </w:r>
      <w:proofErr w:type="spellEnd"/>
      <w:r w:rsidRPr="00E855C7">
        <w:rPr>
          <w:rFonts w:ascii="Times New Roman" w:eastAsia="Calibri" w:hAnsi="Times New Roman" w:cs="Times New Roman"/>
          <w:b/>
          <w:bCs/>
        </w:rPr>
        <w:t>: (</w:t>
      </w:r>
      <w:r w:rsidR="0008382F" w:rsidRPr="0008382F">
        <w:rPr>
          <w:rFonts w:ascii="Times New Roman" w:eastAsia="Calibri" w:hAnsi="Times New Roman" w:cs="Times New Roman"/>
          <w:b/>
          <w:bCs/>
        </w:rPr>
        <w:t>4431-2023</w:t>
      </w:r>
      <w:r w:rsidRPr="00E855C7">
        <w:rPr>
          <w:rFonts w:ascii="Times New Roman" w:eastAsia="Calibri" w:hAnsi="Times New Roman" w:cs="Times New Roman"/>
          <w:b/>
          <w:bCs/>
        </w:rPr>
        <w:t>)</w:t>
      </w:r>
    </w:p>
    <w:p w14:paraId="372D734A" w14:textId="77777777" w:rsidR="00B345FE" w:rsidRPr="00E855C7" w:rsidRDefault="00B345FE" w:rsidP="00B345FE">
      <w:pPr>
        <w:widowControl w:val="0"/>
        <w:suppressAutoHyphens/>
        <w:spacing w:after="0" w:line="240" w:lineRule="auto"/>
        <w:jc w:val="both"/>
        <w:rPr>
          <w:rFonts w:ascii="Times New Roman" w:eastAsia="Arial Unicode MS" w:hAnsi="Times New Roman" w:cs="Times New Roman"/>
          <w:i/>
          <w:iCs/>
          <w:color w:val="BFBFBF"/>
          <w:kern w:val="1"/>
          <w:lang w:val="es-ES_tradnl"/>
        </w:rPr>
      </w:pPr>
      <w:r w:rsidRPr="00E855C7">
        <w:rPr>
          <w:rFonts w:ascii="Times New Roman" w:eastAsia="Arial Unicode MS" w:hAnsi="Times New Roman" w:cs="Times New Roman"/>
          <w:i/>
          <w:iCs/>
          <w:color w:val="BFBFBF"/>
          <w:kern w:val="1"/>
          <w:lang w:val="es-ES_tradnl"/>
        </w:rPr>
        <w:t>Nickole</w:t>
      </w:r>
    </w:p>
    <w:p w14:paraId="65ACB971" w14:textId="77777777" w:rsidR="00B345FE" w:rsidRPr="00E855C7" w:rsidRDefault="00B345FE" w:rsidP="00B345FE">
      <w:pPr>
        <w:widowControl w:val="0"/>
        <w:suppressAutoHyphens/>
        <w:spacing w:after="0" w:line="240" w:lineRule="auto"/>
        <w:ind w:left="142" w:right="141"/>
        <w:rPr>
          <w:rFonts w:ascii="Times New Roman" w:eastAsia="Arial Unicode MS" w:hAnsi="Times New Roman" w:cs="Times New Roman"/>
          <w:i/>
          <w:kern w:val="1"/>
          <w:lang w:val="pt-BR"/>
        </w:rPr>
      </w:pPr>
    </w:p>
    <w:p w14:paraId="5D90C96B" w14:textId="77777777" w:rsidR="004E2E53" w:rsidRPr="00E855C7" w:rsidRDefault="004E2E53">
      <w:pPr>
        <w:rPr>
          <w:rFonts w:ascii="Times New Roman" w:hAnsi="Times New Roman" w:cs="Times New Roman"/>
        </w:rPr>
      </w:pPr>
    </w:p>
    <w:sectPr w:rsidR="004E2E53" w:rsidRPr="00E855C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21452"/>
    <w:multiLevelType w:val="hybridMultilevel"/>
    <w:tmpl w:val="2FA8B73C"/>
    <w:lvl w:ilvl="0" w:tplc="140A000B">
      <w:start w:val="1"/>
      <w:numFmt w:val="bullet"/>
      <w:lvlText w:val=""/>
      <w:lvlJc w:val="left"/>
      <w:pPr>
        <w:ind w:left="1428" w:hanging="360"/>
      </w:pPr>
      <w:rPr>
        <w:rFonts w:ascii="Wingdings" w:hAnsi="Wingdings" w:hint="default"/>
      </w:rPr>
    </w:lvl>
    <w:lvl w:ilvl="1" w:tplc="140A0003">
      <w:start w:val="1"/>
      <w:numFmt w:val="bullet"/>
      <w:lvlText w:val="o"/>
      <w:lvlJc w:val="left"/>
      <w:pPr>
        <w:ind w:left="2148" w:hanging="360"/>
      </w:pPr>
      <w:rPr>
        <w:rFonts w:ascii="Courier New" w:hAnsi="Courier New" w:cs="Courier New" w:hint="default"/>
      </w:rPr>
    </w:lvl>
    <w:lvl w:ilvl="2" w:tplc="140A0005">
      <w:start w:val="1"/>
      <w:numFmt w:val="bullet"/>
      <w:lvlText w:val=""/>
      <w:lvlJc w:val="left"/>
      <w:pPr>
        <w:ind w:left="2868" w:hanging="360"/>
      </w:pPr>
      <w:rPr>
        <w:rFonts w:ascii="Wingdings" w:hAnsi="Wingdings" w:hint="default"/>
      </w:rPr>
    </w:lvl>
    <w:lvl w:ilvl="3" w:tplc="140A0001">
      <w:start w:val="1"/>
      <w:numFmt w:val="bullet"/>
      <w:lvlText w:val=""/>
      <w:lvlJc w:val="left"/>
      <w:pPr>
        <w:ind w:left="3588" w:hanging="360"/>
      </w:pPr>
      <w:rPr>
        <w:rFonts w:ascii="Symbol" w:hAnsi="Symbol" w:hint="default"/>
      </w:rPr>
    </w:lvl>
    <w:lvl w:ilvl="4" w:tplc="140A0003">
      <w:start w:val="1"/>
      <w:numFmt w:val="bullet"/>
      <w:lvlText w:val="o"/>
      <w:lvlJc w:val="left"/>
      <w:pPr>
        <w:ind w:left="4308" w:hanging="360"/>
      </w:pPr>
      <w:rPr>
        <w:rFonts w:ascii="Courier New" w:hAnsi="Courier New" w:cs="Courier New" w:hint="default"/>
      </w:rPr>
    </w:lvl>
    <w:lvl w:ilvl="5" w:tplc="140A0005">
      <w:start w:val="1"/>
      <w:numFmt w:val="bullet"/>
      <w:lvlText w:val=""/>
      <w:lvlJc w:val="left"/>
      <w:pPr>
        <w:ind w:left="5028" w:hanging="360"/>
      </w:pPr>
      <w:rPr>
        <w:rFonts w:ascii="Wingdings" w:hAnsi="Wingdings" w:hint="default"/>
      </w:rPr>
    </w:lvl>
    <w:lvl w:ilvl="6" w:tplc="140A0001">
      <w:start w:val="1"/>
      <w:numFmt w:val="bullet"/>
      <w:lvlText w:val=""/>
      <w:lvlJc w:val="left"/>
      <w:pPr>
        <w:ind w:left="5748" w:hanging="360"/>
      </w:pPr>
      <w:rPr>
        <w:rFonts w:ascii="Symbol" w:hAnsi="Symbol" w:hint="default"/>
      </w:rPr>
    </w:lvl>
    <w:lvl w:ilvl="7" w:tplc="140A0003">
      <w:start w:val="1"/>
      <w:numFmt w:val="bullet"/>
      <w:lvlText w:val="o"/>
      <w:lvlJc w:val="left"/>
      <w:pPr>
        <w:ind w:left="6468" w:hanging="360"/>
      </w:pPr>
      <w:rPr>
        <w:rFonts w:ascii="Courier New" w:hAnsi="Courier New" w:cs="Courier New" w:hint="default"/>
      </w:rPr>
    </w:lvl>
    <w:lvl w:ilvl="8" w:tplc="140A0005">
      <w:start w:val="1"/>
      <w:numFmt w:val="bullet"/>
      <w:lvlText w:val=""/>
      <w:lvlJc w:val="left"/>
      <w:pPr>
        <w:ind w:left="7188" w:hanging="360"/>
      </w:pPr>
      <w:rPr>
        <w:rFonts w:ascii="Wingdings" w:hAnsi="Wingdings" w:hint="default"/>
      </w:rPr>
    </w:lvl>
  </w:abstractNum>
  <w:num w:numId="1" w16cid:durableId="535700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E53"/>
    <w:rsid w:val="00016AB0"/>
    <w:rsid w:val="0008382F"/>
    <w:rsid w:val="001F7D92"/>
    <w:rsid w:val="002A6DEE"/>
    <w:rsid w:val="00331A5E"/>
    <w:rsid w:val="00365786"/>
    <w:rsid w:val="0045592B"/>
    <w:rsid w:val="004913C0"/>
    <w:rsid w:val="00493865"/>
    <w:rsid w:val="004E2E53"/>
    <w:rsid w:val="007708DE"/>
    <w:rsid w:val="0085621E"/>
    <w:rsid w:val="00863CBE"/>
    <w:rsid w:val="00A3330A"/>
    <w:rsid w:val="00AF1A82"/>
    <w:rsid w:val="00B07339"/>
    <w:rsid w:val="00B22839"/>
    <w:rsid w:val="00B345FE"/>
    <w:rsid w:val="00BB1258"/>
    <w:rsid w:val="00D053BF"/>
    <w:rsid w:val="00D077C9"/>
    <w:rsid w:val="00DC3D60"/>
    <w:rsid w:val="00DC7166"/>
    <w:rsid w:val="00E855C7"/>
    <w:rsid w:val="00F115C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B0E36"/>
  <w15:chartTrackingRefBased/>
  <w15:docId w15:val="{EDF7977D-0D19-4189-A9A1-7A1E403E1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aliases w:val="Títulos de Hallazgo e Introducción"/>
    <w:basedOn w:val="Normal"/>
    <w:next w:val="Textoindependiente"/>
    <w:link w:val="Ttulo2Car"/>
    <w:qFormat/>
    <w:rsid w:val="00D053BF"/>
    <w:pPr>
      <w:keepNext/>
      <w:tabs>
        <w:tab w:val="num" w:pos="0"/>
      </w:tabs>
      <w:suppressAutoHyphens/>
      <w:spacing w:before="120" w:after="120" w:line="480" w:lineRule="auto"/>
      <w:jc w:val="center"/>
      <w:outlineLvl w:val="1"/>
    </w:pPr>
    <w:rPr>
      <w:rFonts w:ascii="Times New Roman" w:eastAsia="Times New Roman" w:hAnsi="Times New Roman" w:cs="Times New Roman"/>
      <w:b/>
      <w:bCs/>
      <w:sz w:val="32"/>
      <w:szCs w:val="28"/>
      <w:u w:val="single"/>
      <w:lang w:val="es-ES" w:eastAsia="ar-SA"/>
    </w:rPr>
  </w:style>
  <w:style w:type="paragraph" w:styleId="Ttulo3">
    <w:name w:val="heading 3"/>
    <w:aliases w:val="Subtítulos de Hallazgo"/>
    <w:basedOn w:val="Normal"/>
    <w:next w:val="Normal"/>
    <w:link w:val="Ttulo3Car"/>
    <w:qFormat/>
    <w:rsid w:val="00BB1258"/>
    <w:pPr>
      <w:keepNext/>
      <w:suppressAutoHyphens/>
      <w:spacing w:after="0" w:line="240" w:lineRule="auto"/>
      <w:ind w:firstLine="709"/>
      <w:jc w:val="both"/>
      <w:outlineLvl w:val="2"/>
    </w:pPr>
    <w:rPr>
      <w:rFonts w:ascii="Times New Roman" w:eastAsia="Times New Roman" w:hAnsi="Times New Roman" w:cs="Arial"/>
      <w:bCs/>
      <w:color w:val="0000FF"/>
      <w:sz w:val="24"/>
      <w:szCs w:val="26"/>
      <w:lang w:val="es-ES_tradnl"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Títulos de Hallazgo e Introducción Car"/>
    <w:basedOn w:val="Fuentedeprrafopredeter"/>
    <w:link w:val="Ttulo2"/>
    <w:qFormat/>
    <w:rsid w:val="00D053BF"/>
    <w:rPr>
      <w:rFonts w:ascii="Times New Roman" w:eastAsia="Times New Roman" w:hAnsi="Times New Roman" w:cs="Times New Roman"/>
      <w:b/>
      <w:bCs/>
      <w:sz w:val="32"/>
      <w:szCs w:val="28"/>
      <w:u w:val="single"/>
      <w:lang w:val="es-ES" w:eastAsia="ar-SA"/>
    </w:rPr>
  </w:style>
  <w:style w:type="paragraph" w:styleId="Textoindependiente">
    <w:name w:val="Body Text"/>
    <w:basedOn w:val="Normal"/>
    <w:link w:val="TextoindependienteCar"/>
    <w:uiPriority w:val="99"/>
    <w:semiHidden/>
    <w:unhideWhenUsed/>
    <w:rsid w:val="00863CBE"/>
    <w:pPr>
      <w:spacing w:after="120"/>
    </w:pPr>
  </w:style>
  <w:style w:type="character" w:customStyle="1" w:styleId="TextoindependienteCar">
    <w:name w:val="Texto independiente Car"/>
    <w:basedOn w:val="Fuentedeprrafopredeter"/>
    <w:link w:val="Textoindependiente"/>
    <w:uiPriority w:val="99"/>
    <w:semiHidden/>
    <w:rsid w:val="00863CBE"/>
  </w:style>
  <w:style w:type="character" w:customStyle="1" w:styleId="Ttulo3Car">
    <w:name w:val="Título 3 Car"/>
    <w:aliases w:val="Subtítulos de Hallazgo Car"/>
    <w:basedOn w:val="Fuentedeprrafopredeter"/>
    <w:link w:val="Ttulo3"/>
    <w:qFormat/>
    <w:rsid w:val="00BB1258"/>
    <w:rPr>
      <w:rFonts w:ascii="Times New Roman" w:eastAsia="Times New Roman" w:hAnsi="Times New Roman" w:cs="Arial"/>
      <w:bCs/>
      <w:color w:val="0000FF"/>
      <w:sz w:val="24"/>
      <w:szCs w:val="26"/>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4050">
      <w:bodyDiv w:val="1"/>
      <w:marLeft w:val="0"/>
      <w:marRight w:val="0"/>
      <w:marTop w:val="0"/>
      <w:marBottom w:val="0"/>
      <w:divBdr>
        <w:top w:val="none" w:sz="0" w:space="0" w:color="auto"/>
        <w:left w:val="none" w:sz="0" w:space="0" w:color="auto"/>
        <w:bottom w:val="none" w:sz="0" w:space="0" w:color="auto"/>
        <w:right w:val="none" w:sz="0" w:space="0" w:color="auto"/>
      </w:divBdr>
    </w:div>
    <w:div w:id="479352496">
      <w:bodyDiv w:val="1"/>
      <w:marLeft w:val="0"/>
      <w:marRight w:val="0"/>
      <w:marTop w:val="0"/>
      <w:marBottom w:val="0"/>
      <w:divBdr>
        <w:top w:val="none" w:sz="0" w:space="0" w:color="auto"/>
        <w:left w:val="none" w:sz="0" w:space="0" w:color="auto"/>
        <w:bottom w:val="none" w:sz="0" w:space="0" w:color="auto"/>
        <w:right w:val="none" w:sz="0" w:space="0" w:color="auto"/>
      </w:divBdr>
    </w:div>
    <w:div w:id="1292131328">
      <w:bodyDiv w:val="1"/>
      <w:marLeft w:val="0"/>
      <w:marRight w:val="0"/>
      <w:marTop w:val="0"/>
      <w:marBottom w:val="0"/>
      <w:divBdr>
        <w:top w:val="none" w:sz="0" w:space="0" w:color="auto"/>
        <w:left w:val="none" w:sz="0" w:space="0" w:color="auto"/>
        <w:bottom w:val="none" w:sz="0" w:space="0" w:color="auto"/>
        <w:right w:val="none" w:sz="0" w:space="0" w:color="auto"/>
      </w:divBdr>
    </w:div>
    <w:div w:id="1336805192">
      <w:bodyDiv w:val="1"/>
      <w:marLeft w:val="0"/>
      <w:marRight w:val="0"/>
      <w:marTop w:val="0"/>
      <w:marBottom w:val="0"/>
      <w:divBdr>
        <w:top w:val="none" w:sz="0" w:space="0" w:color="auto"/>
        <w:left w:val="none" w:sz="0" w:space="0" w:color="auto"/>
        <w:bottom w:val="none" w:sz="0" w:space="0" w:color="auto"/>
        <w:right w:val="none" w:sz="0" w:space="0" w:color="auto"/>
      </w:divBdr>
    </w:div>
    <w:div w:id="1420758843">
      <w:bodyDiv w:val="1"/>
      <w:marLeft w:val="0"/>
      <w:marRight w:val="0"/>
      <w:marTop w:val="0"/>
      <w:marBottom w:val="0"/>
      <w:divBdr>
        <w:top w:val="none" w:sz="0" w:space="0" w:color="auto"/>
        <w:left w:val="none" w:sz="0" w:space="0" w:color="auto"/>
        <w:bottom w:val="none" w:sz="0" w:space="0" w:color="auto"/>
        <w:right w:val="none" w:sz="0" w:space="0" w:color="auto"/>
      </w:divBdr>
    </w:div>
    <w:div w:id="1601446831">
      <w:bodyDiv w:val="1"/>
      <w:marLeft w:val="0"/>
      <w:marRight w:val="0"/>
      <w:marTop w:val="0"/>
      <w:marBottom w:val="0"/>
      <w:divBdr>
        <w:top w:val="none" w:sz="0" w:space="0" w:color="auto"/>
        <w:left w:val="none" w:sz="0" w:space="0" w:color="auto"/>
        <w:bottom w:val="none" w:sz="0" w:space="0" w:color="auto"/>
        <w:right w:val="none" w:sz="0" w:space="0" w:color="auto"/>
      </w:divBdr>
    </w:div>
    <w:div w:id="1851597545">
      <w:bodyDiv w:val="1"/>
      <w:marLeft w:val="0"/>
      <w:marRight w:val="0"/>
      <w:marTop w:val="0"/>
      <w:marBottom w:val="0"/>
      <w:divBdr>
        <w:top w:val="none" w:sz="0" w:space="0" w:color="auto"/>
        <w:left w:val="none" w:sz="0" w:space="0" w:color="auto"/>
        <w:bottom w:val="none" w:sz="0" w:space="0" w:color="auto"/>
        <w:right w:val="none" w:sz="0" w:space="0" w:color="auto"/>
      </w:divBdr>
    </w:div>
    <w:div w:id="2055959707">
      <w:bodyDiv w:val="1"/>
      <w:marLeft w:val="0"/>
      <w:marRight w:val="0"/>
      <w:marTop w:val="0"/>
      <w:marBottom w:val="0"/>
      <w:divBdr>
        <w:top w:val="none" w:sz="0" w:space="0" w:color="auto"/>
        <w:left w:val="none" w:sz="0" w:space="0" w:color="auto"/>
        <w:bottom w:val="none" w:sz="0" w:space="0" w:color="auto"/>
        <w:right w:val="none" w:sz="0" w:space="0" w:color="auto"/>
      </w:divBdr>
    </w:div>
    <w:div w:id="208988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533</Words>
  <Characters>2936</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 General de la Corte - Comunicaciones - Nickole Salas Soto.</dc:creator>
  <cp:keywords/>
  <dc:description/>
  <cp:lastModifiedBy>Karla Alpizar Salazar</cp:lastModifiedBy>
  <cp:revision>3</cp:revision>
  <dcterms:created xsi:type="dcterms:W3CDTF">2024-02-28T16:04:00Z</dcterms:created>
  <dcterms:modified xsi:type="dcterms:W3CDTF">2024-02-28T16:04:00Z</dcterms:modified>
</cp:coreProperties>
</file>