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9F1CF8E" w14:textId="77777777" w:rsidR="00217CF3" w:rsidRDefault="00A4787B">
      <w:pPr>
        <w:suppressAutoHyphens w:val="0"/>
        <w:jc w:val="both"/>
        <w:textAlignment w:val="baseline"/>
        <w:rPr>
          <w:rFonts w:eastAsia="SimSun"/>
          <w:b/>
          <w:bCs/>
          <w:kern w:val="0"/>
          <w:u w:val="single"/>
          <w:lang w:val="es-CR" w:eastAsia="zh-CN" w:bidi="hi-IN"/>
        </w:rPr>
      </w:pPr>
      <w:r>
        <w:rPr>
          <w:rFonts w:eastAsia="SimSun"/>
          <w:b/>
          <w:bCs/>
          <w:kern w:val="0"/>
          <w:u w:val="single"/>
          <w:lang w:val="es-CR" w:eastAsia="zh-CN" w:bidi="hi-IN"/>
        </w:rPr>
        <w:t>CIRCULAR No. 12-2023</w:t>
      </w:r>
    </w:p>
    <w:p w14:paraId="7CB47CBC" w14:textId="77777777" w:rsidR="00217CF3" w:rsidRDefault="00217CF3">
      <w:pPr>
        <w:suppressAutoHyphens w:val="0"/>
        <w:ind w:firstLine="709"/>
        <w:jc w:val="both"/>
        <w:textAlignment w:val="baseline"/>
        <w:rPr>
          <w:rFonts w:eastAsia="SimSun"/>
          <w:b/>
          <w:bCs/>
          <w:kern w:val="0"/>
          <w:lang w:val="es-CR" w:eastAsia="zh-CN" w:bidi="hi-IN"/>
        </w:rPr>
      </w:pPr>
    </w:p>
    <w:p w14:paraId="332225B1" w14:textId="77777777" w:rsidR="00217CF3" w:rsidRDefault="00A4787B">
      <w:pPr>
        <w:spacing w:before="120" w:after="120"/>
        <w:ind w:firstLine="709"/>
        <w:jc w:val="both"/>
        <w:rPr>
          <w:color w:val="000000" w:themeColor="text1"/>
        </w:rPr>
      </w:pPr>
      <w:r>
        <w:rPr>
          <w:b/>
          <w:bCs/>
          <w:color w:val="000000" w:themeColor="text1"/>
          <w:u w:val="single"/>
        </w:rPr>
        <w:t>Asunto</w:t>
      </w:r>
      <w:r>
        <w:rPr>
          <w:bCs/>
          <w:color w:val="000000" w:themeColor="text1"/>
        </w:rPr>
        <w:t>:</w:t>
      </w:r>
      <w:r>
        <w:rPr>
          <w:color w:val="000000" w:themeColor="text1"/>
        </w:rPr>
        <w:t xml:space="preserve"> Reiteración de la circular No. 154-2018 sobre la obligatoriedad de utilizar la mejora en el sistema para “Pase a Fallo” a quienes utilizan la herramienta tecnológica “Escritorio Virtual”.</w:t>
      </w:r>
    </w:p>
    <w:p w14:paraId="400CD8A2" w14:textId="77777777" w:rsidR="00217CF3" w:rsidRDefault="00217CF3">
      <w:pPr>
        <w:spacing w:before="120" w:after="120"/>
        <w:ind w:firstLine="709"/>
        <w:jc w:val="both"/>
        <w:rPr>
          <w:rFonts w:eastAsia="Calibri"/>
          <w:b/>
          <w:bCs/>
          <w:color w:val="000000" w:themeColor="text1"/>
          <w:u w:val="single"/>
        </w:rPr>
      </w:pPr>
    </w:p>
    <w:p w14:paraId="47DF96D1" w14:textId="77777777" w:rsidR="00217CF3" w:rsidRDefault="00A4787B">
      <w:pPr>
        <w:widowControl/>
        <w:suppressAutoHyphens w:val="0"/>
        <w:jc w:val="both"/>
        <w:rPr>
          <w:b/>
          <w:bCs/>
          <w:color w:val="000000" w:themeColor="text1"/>
          <w:u w:val="single"/>
        </w:rPr>
      </w:pPr>
      <w:r>
        <w:rPr>
          <w:b/>
          <w:bCs/>
          <w:u w:val="single"/>
        </w:rPr>
        <w:t>A TODOS LOS DESPACHOS JUDICIALES DEL PAÍS QUE UTILIZAN “ESCRITORIO VIRTUAL”, SE LES HACE SABER QUE</w:t>
      </w:r>
      <w:r>
        <w:rPr>
          <w:b/>
          <w:bCs/>
          <w:color w:val="000000" w:themeColor="text1"/>
          <w:u w:val="single"/>
        </w:rPr>
        <w:t>:</w:t>
      </w:r>
    </w:p>
    <w:p w14:paraId="67A9B334" w14:textId="77777777" w:rsidR="00217CF3" w:rsidRDefault="00217CF3">
      <w:pPr>
        <w:ind w:left="851" w:right="851" w:firstLine="709"/>
        <w:jc w:val="center"/>
        <w:rPr>
          <w:b/>
          <w:bCs/>
          <w:color w:val="000000" w:themeColor="text1"/>
        </w:rPr>
      </w:pPr>
    </w:p>
    <w:p w14:paraId="744CC594" w14:textId="77777777" w:rsidR="00217CF3" w:rsidRDefault="00A4787B">
      <w:pPr>
        <w:spacing w:before="120" w:after="120"/>
        <w:ind w:firstLine="709"/>
        <w:jc w:val="both"/>
        <w:rPr>
          <w:color w:val="000000" w:themeColor="text1"/>
        </w:rPr>
      </w:pPr>
      <w:r>
        <w:t>Este Consejo Superior del Poder Judicial, e</w:t>
      </w:r>
      <w:r>
        <w:rPr>
          <w:rFonts w:eastAsia="Calibri"/>
          <w:color w:val="000000" w:themeColor="text1"/>
        </w:rPr>
        <w:t>n sesión número 102</w:t>
      </w:r>
      <w:r>
        <w:rPr>
          <w:color w:val="000000"/>
          <w:lang w:val="es-CR"/>
        </w:rPr>
        <w:t>-2022 celebrada el 22 de noviembre de 2022</w:t>
      </w:r>
      <w:r>
        <w:t xml:space="preserve">, artículo XLIII, </w:t>
      </w:r>
      <w:r>
        <w:rPr>
          <w:rFonts w:eastAsia="Calibri"/>
          <w:color w:val="000000" w:themeColor="text1"/>
        </w:rPr>
        <w:t xml:space="preserve">dispuso reiterar la </w:t>
      </w:r>
      <w:r>
        <w:rPr>
          <w:color w:val="000000" w:themeColor="text1"/>
        </w:rPr>
        <w:t xml:space="preserve">circular N° 154-2018 relativa al recordatorio sobre la </w:t>
      </w:r>
      <w:r>
        <w:rPr>
          <w:b/>
          <w:bCs/>
          <w:color w:val="000000" w:themeColor="text1"/>
        </w:rPr>
        <w:t>obligatoriedad de utilizar la mejora en el sistema para “Pase a Fallo</w:t>
      </w:r>
      <w:r>
        <w:rPr>
          <w:color w:val="000000" w:themeColor="text1"/>
        </w:rPr>
        <w:t xml:space="preserve">” a quienes utilizan la herramienta tecnológica “Escritorio Virtual”, dado que se ha detectado </w:t>
      </w:r>
      <w:r>
        <w:rPr>
          <w:color w:val="000000"/>
        </w:rPr>
        <w:t>que hay despachos que no la están utilizando de forma correcta.</w:t>
      </w:r>
    </w:p>
    <w:p w14:paraId="4044A9FD" w14:textId="77777777" w:rsidR="00217CF3" w:rsidRDefault="00A4787B">
      <w:pPr>
        <w:ind w:right="851"/>
        <w:jc w:val="center"/>
      </w:pPr>
      <w:r>
        <w:t>-0-</w:t>
      </w:r>
    </w:p>
    <w:p w14:paraId="253A260E" w14:textId="77777777" w:rsidR="00217CF3" w:rsidRDefault="00217CF3">
      <w:pPr>
        <w:ind w:left="851" w:right="851" w:firstLine="709"/>
        <w:jc w:val="both"/>
        <w:rPr>
          <w:rFonts w:eastAsia="Calibri"/>
          <w:sz w:val="22"/>
          <w:szCs w:val="22"/>
          <w:lang w:val="es-CR"/>
        </w:rPr>
      </w:pPr>
    </w:p>
    <w:p w14:paraId="42D2A414" w14:textId="77777777" w:rsidR="00217CF3" w:rsidRDefault="00A4787B">
      <w:pPr>
        <w:suppressAutoHyphens w:val="0"/>
        <w:ind w:firstLine="709"/>
        <w:jc w:val="both"/>
        <w:textAlignment w:val="baseline"/>
        <w:rPr>
          <w:rFonts w:eastAsia="SimSun"/>
          <w:kern w:val="0"/>
          <w:lang w:val="es-CR" w:eastAsia="zh-CN" w:bidi="hi-IN"/>
        </w:rPr>
      </w:pPr>
      <w:r>
        <w:rPr>
          <w:rFonts w:eastAsia="SimSun"/>
          <w:b/>
          <w:bCs/>
          <w:kern w:val="0"/>
          <w:lang w:val="es-CR" w:eastAsia="zh-CN" w:bidi="hi-IN"/>
        </w:rPr>
        <w:t xml:space="preserve">De conformidad con la circular N° 67-09 emitida por la Secretaría de la Corte el 22 de junio de 2009, se le comunica que en virtud del principio de gratuidad que rige esta materia, la publicación está exenta de todo pago de derechos. </w:t>
      </w:r>
    </w:p>
    <w:p w14:paraId="25ED6790" w14:textId="77777777" w:rsidR="00217CF3" w:rsidRDefault="00217CF3">
      <w:pPr>
        <w:suppressAutoHyphens w:val="0"/>
        <w:ind w:firstLine="709"/>
        <w:jc w:val="both"/>
        <w:textAlignment w:val="baseline"/>
        <w:rPr>
          <w:rFonts w:eastAsia="SimSun"/>
          <w:b/>
          <w:bCs/>
          <w:kern w:val="0"/>
          <w:lang w:eastAsia="en-US" w:bidi="hi-IN"/>
        </w:rPr>
      </w:pPr>
    </w:p>
    <w:p w14:paraId="1FAAC00E" w14:textId="77777777" w:rsidR="00217CF3" w:rsidRDefault="00A4787B">
      <w:pPr>
        <w:suppressAutoHyphens w:val="0"/>
        <w:ind w:firstLine="709"/>
        <w:jc w:val="both"/>
        <w:textAlignment w:val="baseline"/>
        <w:rPr>
          <w:rFonts w:eastAsia="SimSun"/>
          <w:kern w:val="0"/>
          <w:lang w:val="es-CR" w:eastAsia="zh-CN" w:bidi="hi-IN"/>
        </w:rPr>
      </w:pPr>
      <w:r>
        <w:rPr>
          <w:rFonts w:eastAsia="SimSun"/>
          <w:b/>
          <w:bCs/>
          <w:kern w:val="0"/>
          <w:lang w:eastAsia="en-US" w:bidi="hi-IN"/>
        </w:rPr>
        <w:t>Publíquese una sola vez en el Boletín Judicial.</w:t>
      </w:r>
      <w:r>
        <w:rPr>
          <w:rFonts w:eastAsia="Batang"/>
          <w:kern w:val="0"/>
          <w:lang w:val="es-CR" w:eastAsia="ko-KR"/>
        </w:rPr>
        <w:t>”</w:t>
      </w:r>
    </w:p>
    <w:p w14:paraId="74968A29" w14:textId="77777777" w:rsidR="00217CF3" w:rsidRDefault="00217CF3">
      <w:pPr>
        <w:widowControl/>
        <w:ind w:firstLine="709"/>
        <w:jc w:val="both"/>
        <w:rPr>
          <w:rFonts w:eastAsia="Times New Roman"/>
          <w:b/>
          <w:bCs/>
          <w:kern w:val="0"/>
          <w:lang w:val="es-CR" w:eastAsia="es-ES"/>
        </w:rPr>
      </w:pPr>
    </w:p>
    <w:p w14:paraId="4E3F461F" w14:textId="77777777" w:rsidR="00217CF3" w:rsidRDefault="00217CF3">
      <w:pPr>
        <w:ind w:firstLine="709"/>
        <w:jc w:val="both"/>
        <w:rPr>
          <w:bCs/>
        </w:rPr>
      </w:pPr>
    </w:p>
    <w:p w14:paraId="6C71FD95" w14:textId="77777777" w:rsidR="00217CF3" w:rsidRDefault="00A4787B">
      <w:pPr>
        <w:widowControl/>
        <w:suppressAutoHyphens w:val="0"/>
        <w:ind w:firstLine="709"/>
        <w:jc w:val="both"/>
        <w:rPr>
          <w:rFonts w:eastAsia="Times New Roman"/>
          <w:kern w:val="0"/>
          <w:lang w:eastAsia="es-ES"/>
        </w:rPr>
      </w:pPr>
      <w:r>
        <w:rPr>
          <w:b/>
          <w:bCs/>
        </w:rPr>
        <w:t>San José, 19 de enero de 2023.</w:t>
      </w:r>
    </w:p>
    <w:p w14:paraId="6C1A33AA" w14:textId="77777777" w:rsidR="00217CF3" w:rsidRDefault="00217CF3">
      <w:pPr>
        <w:ind w:firstLine="709"/>
        <w:jc w:val="both"/>
        <w:rPr>
          <w:b/>
          <w:bCs/>
          <w:lang w:val="pt-BR"/>
        </w:rPr>
      </w:pPr>
    </w:p>
    <w:p w14:paraId="443CE862" w14:textId="77777777" w:rsidR="00217CF3" w:rsidRDefault="00217CF3">
      <w:pPr>
        <w:ind w:firstLine="709"/>
        <w:jc w:val="both"/>
        <w:rPr>
          <w:b/>
          <w:bCs/>
          <w:lang w:val="pt-BR"/>
        </w:rPr>
      </w:pPr>
    </w:p>
    <w:p w14:paraId="6FABD988" w14:textId="77777777" w:rsidR="00217CF3" w:rsidRDefault="00217CF3">
      <w:pPr>
        <w:ind w:firstLine="709"/>
        <w:jc w:val="both"/>
        <w:rPr>
          <w:b/>
          <w:bCs/>
          <w:lang w:val="pt-BR"/>
        </w:rPr>
      </w:pPr>
    </w:p>
    <w:p w14:paraId="2EC51FC2" w14:textId="77777777" w:rsidR="00217CF3" w:rsidRDefault="00217CF3">
      <w:pPr>
        <w:ind w:firstLine="709"/>
        <w:jc w:val="both"/>
        <w:rPr>
          <w:b/>
          <w:bCs/>
          <w:lang w:val="pt-BR"/>
        </w:rPr>
      </w:pPr>
    </w:p>
    <w:p w14:paraId="5B6017F0" w14:textId="77777777" w:rsidR="00217CF3" w:rsidRDefault="00217CF3">
      <w:pPr>
        <w:ind w:firstLine="709"/>
        <w:jc w:val="both"/>
        <w:rPr>
          <w:b/>
          <w:bCs/>
          <w:lang w:val="pt-BR"/>
        </w:rPr>
      </w:pPr>
    </w:p>
    <w:p w14:paraId="10833073" w14:textId="77777777" w:rsidR="00217CF3" w:rsidRDefault="00A4787B">
      <w:pPr>
        <w:ind w:firstLine="709"/>
        <w:jc w:val="both"/>
        <w:rPr>
          <w:b/>
          <w:bCs/>
          <w:lang w:val="pt-BR"/>
        </w:rPr>
      </w:pPr>
      <w:r>
        <w:rPr>
          <w:b/>
          <w:bCs/>
          <w:lang w:val="pt-BR"/>
        </w:rPr>
        <w:t>Lic. Carlos T. Mora Rodríguez</w:t>
      </w:r>
    </w:p>
    <w:p w14:paraId="13E67296" w14:textId="77777777" w:rsidR="00217CF3" w:rsidRDefault="00A4787B">
      <w:pPr>
        <w:ind w:firstLine="709"/>
        <w:jc w:val="both"/>
        <w:rPr>
          <w:b/>
          <w:bCs/>
          <w:lang w:val="pt-BR"/>
        </w:rPr>
      </w:pPr>
      <w:r>
        <w:rPr>
          <w:b/>
          <w:bCs/>
          <w:lang w:val="pt-BR"/>
        </w:rPr>
        <w:t>Subsecretario General interino</w:t>
      </w:r>
    </w:p>
    <w:p w14:paraId="0AC6B0EC" w14:textId="77777777" w:rsidR="00217CF3" w:rsidRDefault="00A4787B">
      <w:pPr>
        <w:ind w:firstLine="709"/>
        <w:jc w:val="both"/>
        <w:rPr>
          <w:b/>
          <w:bCs/>
          <w:lang w:val="pt-BR"/>
        </w:rPr>
      </w:pPr>
      <w:r>
        <w:rPr>
          <w:b/>
          <w:bCs/>
          <w:lang w:val="pt-BR"/>
        </w:rPr>
        <w:t>Corte Suprema de Justicia</w:t>
      </w:r>
    </w:p>
    <w:p w14:paraId="037E0BB4" w14:textId="77777777" w:rsidR="00217CF3" w:rsidRDefault="00217CF3">
      <w:pPr>
        <w:ind w:left="142" w:right="141"/>
        <w:jc w:val="both"/>
        <w:rPr>
          <w:b/>
          <w:bCs/>
          <w:lang w:val="pt-BR"/>
        </w:rPr>
      </w:pPr>
    </w:p>
    <w:p w14:paraId="1593B430" w14:textId="77777777" w:rsidR="00217CF3" w:rsidRDefault="00217CF3">
      <w:pPr>
        <w:pStyle w:val="NormalWeb"/>
        <w:spacing w:before="0" w:after="0"/>
        <w:ind w:left="142" w:right="141"/>
        <w:jc w:val="both"/>
        <w:rPr>
          <w:i/>
          <w:lang w:val="pt-BR"/>
        </w:rPr>
      </w:pPr>
    </w:p>
    <w:p w14:paraId="5E7446F7" w14:textId="77777777" w:rsidR="00217CF3" w:rsidRDefault="00A4787B">
      <w:pPr>
        <w:widowControl/>
        <w:ind w:left="142" w:firstLine="709"/>
        <w:jc w:val="both"/>
        <w:rPr>
          <w:rFonts w:eastAsia="Times New Roman"/>
          <w:kern w:val="0"/>
          <w:lang w:val="es-ES" w:eastAsia="zh-CN"/>
        </w:rPr>
      </w:pPr>
      <w:r>
        <w:rPr>
          <w:rFonts w:eastAsia="Times New Roman"/>
          <w:kern w:val="0"/>
          <w:lang w:val="es-ES" w:eastAsia="zh-CN"/>
        </w:rPr>
        <w:t>Ref.:(2601-2021, 12394-2022)</w:t>
      </w:r>
    </w:p>
    <w:p w14:paraId="2DD34E0B" w14:textId="77777777" w:rsidR="00217CF3" w:rsidRDefault="00A4787B">
      <w:pPr>
        <w:widowControl/>
        <w:ind w:left="142" w:firstLine="709"/>
        <w:jc w:val="both"/>
        <w:rPr>
          <w:rFonts w:ascii="Monotype Corsiva" w:eastAsia="Times New Roman" w:hAnsi="Monotype Corsiva"/>
          <w:kern w:val="0"/>
          <w:lang w:val="es-ES" w:eastAsia="zh-CN"/>
        </w:rPr>
      </w:pPr>
      <w:r>
        <w:rPr>
          <w:rFonts w:ascii="Monotype Corsiva" w:eastAsia="Times New Roman" w:hAnsi="Monotype Corsiva"/>
          <w:kern w:val="0"/>
          <w:lang w:val="es-ES" w:eastAsia="zh-CN"/>
        </w:rPr>
        <w:t>Randy Cordoba F.</w:t>
      </w:r>
    </w:p>
    <w:sectPr w:rsidR="00217CF3">
      <w:headerReference w:type="default" r:id="rId6"/>
      <w:pgSz w:w="12240" w:h="15840"/>
      <w:pgMar w:top="2268" w:right="1750" w:bottom="1276" w:left="1701" w:header="709"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62CE9A" w14:textId="77777777" w:rsidR="00A4787B" w:rsidRDefault="00A4787B">
      <w:r>
        <w:separator/>
      </w:r>
    </w:p>
  </w:endnote>
  <w:endnote w:type="continuationSeparator" w:id="0">
    <w:p w14:paraId="1F6C1A93" w14:textId="77777777" w:rsidR="00A4787B" w:rsidRDefault="00A478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roman"/>
    <w:pitch w:val="variable"/>
  </w:font>
  <w:font w:name="Lucida Sans">
    <w:panose1 w:val="020B0602030504020204"/>
    <w:charset w:val="00"/>
    <w:family w:val="roman"/>
    <w:notTrueType/>
    <w:pitch w:val="default"/>
  </w:font>
  <w:font w:name="Verdana">
    <w:panose1 w:val="020B0604030504040204"/>
    <w:charset w:val="00"/>
    <w:family w:val="roman"/>
    <w:pitch w:val="variable"/>
  </w:font>
  <w:font w:name="Century Gothic">
    <w:panose1 w:val="020B0502020202020204"/>
    <w:charset w:val="00"/>
    <w:family w:val="roman"/>
    <w:pitch w:val="variable"/>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1" w:usb1="080E0000" w:usb2="00000010" w:usb3="00000000" w:csb0="00040000" w:csb1="00000000"/>
  </w:font>
  <w:font w:name="Batang">
    <w:altName w:val="바탕"/>
    <w:panose1 w:val="02030600000101010101"/>
    <w:charset w:val="81"/>
    <w:family w:val="auto"/>
    <w:pitch w:val="fixed"/>
    <w:sig w:usb0="00000001" w:usb1="09060000" w:usb2="00000010" w:usb3="00000000" w:csb0="00080000" w:csb1="00000000"/>
  </w:font>
  <w:font w:name="Monotype Corsiva">
    <w:panose1 w:val="03010101010201010101"/>
    <w:charset w:val="00"/>
    <w:family w:val="script"/>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8752E6" w14:textId="77777777" w:rsidR="00A4787B" w:rsidRDefault="00A4787B">
      <w:r>
        <w:separator/>
      </w:r>
    </w:p>
  </w:footnote>
  <w:footnote w:type="continuationSeparator" w:id="0">
    <w:p w14:paraId="53388212" w14:textId="77777777" w:rsidR="00A4787B" w:rsidRDefault="00A478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5758ED" w14:textId="77777777" w:rsidR="00217CF3" w:rsidRDefault="00A4787B">
    <w:pPr>
      <w:pStyle w:val="Encabezado"/>
      <w:tabs>
        <w:tab w:val="clear" w:pos="4986"/>
        <w:tab w:val="clear" w:pos="9972"/>
        <w:tab w:val="left" w:pos="709"/>
        <w:tab w:val="center" w:pos="4419"/>
        <w:tab w:val="right" w:pos="8838"/>
      </w:tabs>
    </w:pPr>
    <w:r>
      <w:rPr>
        <w:noProof/>
      </w:rPr>
      <mc:AlternateContent>
        <mc:Choice Requires="wps">
          <w:drawing>
            <wp:anchor distT="2540" distB="4445" distL="0" distR="3810" simplePos="0" relativeHeight="2" behindDoc="1" locked="0" layoutInCell="0" allowOverlap="1" wp14:anchorId="40B96F5A" wp14:editId="24F1A86A">
              <wp:simplePos x="0" y="0"/>
              <wp:positionH relativeFrom="column">
                <wp:posOffset>0</wp:posOffset>
              </wp:positionH>
              <wp:positionV relativeFrom="paragraph">
                <wp:posOffset>-6985</wp:posOffset>
              </wp:positionV>
              <wp:extent cx="662940" cy="745490"/>
              <wp:effectExtent l="0" t="0" r="0" b="0"/>
              <wp:wrapNone/>
              <wp:docPr id="1" name="Text Box 1"/>
              <wp:cNvGraphicFramePr/>
              <a:graphic xmlns:a="http://schemas.openxmlformats.org/drawingml/2006/main">
                <a:graphicData uri="http://schemas.microsoft.com/office/word/2010/wordprocessingShape">
                  <wps:wsp>
                    <wps:cNvSpPr/>
                    <wps:spPr>
                      <a:xfrm>
                        <a:off x="0" y="0"/>
                        <a:ext cx="663120" cy="74556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14:paraId="65D6A061" w14:textId="77777777" w:rsidR="00217CF3" w:rsidRDefault="00A4787B">
                          <w:pPr>
                            <w:pStyle w:val="Contenidodelmarco"/>
                          </w:pPr>
                          <w:r>
                            <w:rPr>
                              <w:noProof/>
                            </w:rPr>
                            <w:drawing>
                              <wp:inline distT="0" distB="0" distL="0" distR="0" wp14:anchorId="6F093815" wp14:editId="4FB9791C">
                                <wp:extent cx="673100" cy="757555"/>
                                <wp:effectExtent l="0" t="0" r="0" b="0"/>
                                <wp:docPr id="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1"/>
                                        <pic:cNvPicPr>
                                          <a:picLocks noChangeAspect="1" noChangeArrowheads="1"/>
                                        </pic:cNvPicPr>
                                      </pic:nvPicPr>
                                      <pic:blipFill>
                                        <a:blip r:embed="rId1"/>
                                        <a:stretch>
                                          <a:fillRect/>
                                        </a:stretch>
                                      </pic:blipFill>
                                      <pic:spPr bwMode="auto">
                                        <a:xfrm>
                                          <a:off x="0" y="0"/>
                                          <a:ext cx="673100" cy="757555"/>
                                        </a:xfrm>
                                        <a:prstGeom prst="rect">
                                          <a:avLst/>
                                        </a:prstGeom>
                                      </pic:spPr>
                                    </pic:pic>
                                  </a:graphicData>
                                </a:graphic>
                              </wp:inline>
                            </w:drawing>
                          </w:r>
                        </w:p>
                      </w:txbxContent>
                    </wps:txbx>
                    <wps:bodyPr lIns="0" tIns="0" rIns="0" bIns="0" anchor="t" upright="1">
                      <a:noAutofit/>
                    </wps:bodyPr>
                  </wps:wsp>
                </a:graphicData>
              </a:graphic>
            </wp:anchor>
          </w:drawing>
        </mc:Choice>
        <mc:Fallback>
          <w:pict>
            <v:rect w14:anchorId="40B96F5A" id="Text Box 1" o:spid="_x0000_s1026" style="position:absolute;margin-left:0;margin-top:-.55pt;width:52.2pt;height:58.7pt;z-index:-503316478;visibility:visible;mso-wrap-style:square;mso-wrap-distance-left:0;mso-wrap-distance-top:.2pt;mso-wrap-distance-right:.3pt;mso-wrap-distance-bottom:.3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" o:allowincell="f" stroked="f" strokeweight="0">
              <v:textbox inset="0,0,0,0">
                <w:txbxContent>
                  <w:p w14:paraId="65D6A061" w14:textId="77777777" w:rsidR="00217CF3" w:rsidRDefault="00A4787B">
                    <w:pPr>
                      <w:pStyle w:val="Contenidodelmarco"/>
                    </w:pPr>
                    <w:r>
                      <w:rPr>
                        <w:noProof/>
                      </w:rPr>
                      <w:drawing>
                        <wp:inline distT="0" distB="0" distL="0" distR="0" wp14:anchorId="6F093815" wp14:editId="4FB9791C">
                          <wp:extent cx="673100" cy="757555"/>
                          <wp:effectExtent l="0" t="0" r="0" b="0"/>
                          <wp:docPr id="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1"/>
                                  <pic:cNvPicPr>
                                    <a:picLocks noChangeAspect="1" noChangeArrowheads="1"/>
                                  </pic:cNvPicPr>
                                </pic:nvPicPr>
                                <pic:blipFill>
                                  <a:blip r:embed="rId1"/>
                                  <a:stretch>
                                    <a:fillRect/>
                                  </a:stretch>
                                </pic:blipFill>
                                <pic:spPr bwMode="auto">
                                  <a:xfrm>
                                    <a:off x="0" y="0"/>
                                    <a:ext cx="673100" cy="757555"/>
                                  </a:xfrm>
                                  <a:prstGeom prst="rect">
                                    <a:avLst/>
                                  </a:prstGeom>
                                </pic:spPr>
                              </pic:pic>
                            </a:graphicData>
                          </a:graphic>
                        </wp:inline>
                      </w:drawing>
                    </w:r>
                  </w:p>
                </w:txbxContent>
              </v:textbox>
            </v:rect>
          </w:pict>
        </mc:Fallback>
      </mc:AlternateContent>
    </w:r>
  </w:p>
  <w:p w14:paraId="48FB30EC" w14:textId="77777777" w:rsidR="00217CF3" w:rsidRDefault="00A4787B">
    <w:pPr>
      <w:pStyle w:val="Encabezado"/>
      <w:tabs>
        <w:tab w:val="clear" w:pos="4986"/>
        <w:tab w:val="clear" w:pos="9972"/>
        <w:tab w:val="left" w:pos="709"/>
        <w:tab w:val="center" w:pos="4419"/>
        <w:tab w:val="right" w:pos="8838"/>
      </w:tabs>
      <w:rPr>
        <w:b/>
        <w:i/>
        <w:lang w:val="es-CR"/>
      </w:rPr>
    </w:pPr>
    <w:r>
      <w:t xml:space="preserve">                      </w:t>
    </w:r>
    <w:r>
      <w:rPr>
        <w:b/>
        <w:i/>
        <w:lang w:val="es-CR"/>
      </w:rPr>
      <w:t>Corte Suprema de Justicia</w:t>
    </w:r>
  </w:p>
  <w:p w14:paraId="6790A9BF" w14:textId="77777777" w:rsidR="00217CF3" w:rsidRDefault="00A4787B">
    <w:pPr>
      <w:rPr>
        <w:b/>
        <w:bCs/>
        <w:i/>
        <w:iCs/>
      </w:rPr>
    </w:pPr>
    <w:r>
      <w:rPr>
        <w:b/>
        <w:bCs/>
        <w:i/>
        <w:iCs/>
      </w:rPr>
      <w:t xml:space="preserve">                           Secretaría General</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4"/>
  <w:displayBackgroundShape/>
  <w:embedSystemFonts/>
  <w:proofState w:spelling="clean" w:grammar="clean"/>
  <w:defaultTabStop w:val="709"/>
  <w:autoHyphenation/>
  <w:hyphenationZone w:val="425"/>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7CF3"/>
    <w:rsid w:val="00217CF3"/>
    <w:rsid w:val="00A4787B"/>
  </w:rsids>
  <m:mathPr>
    <m:mathFont m:val="Cambria Math"/>
    <m:brkBin m:val="before"/>
    <m:brkBinSub m:val="--"/>
    <m:smallFrac m:val="0"/>
    <m:dispDef/>
    <m:lMargin m:val="0"/>
    <m:rMargin m:val="0"/>
    <m:defJc m:val="centerGroup"/>
    <m:wrapIndent m:val="1440"/>
    <m:intLim m:val="subSup"/>
    <m:naryLim m:val="undOvr"/>
  </m:mathPr>
  <w:themeFontLang w:val="es-C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F58B00"/>
  <w15:docId w15:val="{20BCD47B-0722-498F-8134-DD6940C58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CR" w:eastAsia="es-CR" w:bidi="ar-SA"/>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rFonts w:eastAsia="Arial Unicode MS"/>
      <w:kern w:val="2"/>
      <w:sz w:val="24"/>
      <w:szCs w:val="24"/>
      <w:lang w:val="es-ES_tradnl"/>
    </w:rPr>
  </w:style>
  <w:style w:type="paragraph" w:styleId="Ttulo1">
    <w:name w:val="heading 1"/>
    <w:basedOn w:val="Normal"/>
    <w:next w:val="Normal"/>
    <w:qFormat/>
    <w:rsid w:val="007A32F0"/>
    <w:pPr>
      <w:keepNext/>
      <w:spacing w:before="240" w:after="60"/>
      <w:outlineLvl w:val="0"/>
    </w:pPr>
    <w:rPr>
      <w:rFonts w:ascii="Arial" w:hAnsi="Arial" w:cs="Arial"/>
      <w:b/>
      <w:bCs/>
      <w:sz w:val="32"/>
      <w:szCs w:val="32"/>
    </w:rPr>
  </w:style>
  <w:style w:type="paragraph" w:styleId="Ttulo2">
    <w:name w:val="heading 2"/>
    <w:basedOn w:val="Normal"/>
    <w:next w:val="Normal"/>
    <w:qFormat/>
    <w:rsid w:val="007A32F0"/>
    <w:pPr>
      <w:keepNext/>
      <w:spacing w:before="240" w:after="60"/>
      <w:outlineLvl w:val="1"/>
    </w:pPr>
    <w:rPr>
      <w:rFonts w:ascii="Arial" w:hAnsi="Arial" w:cs="Arial"/>
      <w:b/>
      <w:bCs/>
      <w:i/>
      <w:iCs/>
      <w:sz w:val="28"/>
      <w:szCs w:val="28"/>
    </w:rPr>
  </w:style>
  <w:style w:type="paragraph" w:styleId="Ttulo3">
    <w:name w:val="heading 3"/>
    <w:basedOn w:val="Normal"/>
    <w:next w:val="Normal"/>
    <w:qFormat/>
    <w:rsid w:val="00AB0593"/>
    <w:pPr>
      <w:widowControl/>
      <w:suppressAutoHyphens w:val="0"/>
      <w:outlineLvl w:val="2"/>
    </w:pPr>
    <w:rPr>
      <w:rFonts w:eastAsia="Times New Roman"/>
      <w:kern w:val="0"/>
      <w:lang w:val="es-ES" w:eastAsia="es-ES"/>
    </w:rPr>
  </w:style>
  <w:style w:type="paragraph" w:styleId="Ttulo4">
    <w:name w:val="heading 4"/>
    <w:basedOn w:val="Normal"/>
    <w:next w:val="Normal"/>
    <w:qFormat/>
    <w:rsid w:val="007A32F0"/>
    <w:pPr>
      <w:keepNext/>
      <w:spacing w:before="240" w:after="60"/>
      <w:outlineLvl w:val="3"/>
    </w:pPr>
    <w:rPr>
      <w:b/>
      <w:bCs/>
      <w:sz w:val="28"/>
      <w:szCs w:val="28"/>
    </w:rPr>
  </w:style>
  <w:style w:type="paragraph" w:styleId="Ttulo5">
    <w:name w:val="heading 5"/>
    <w:basedOn w:val="Normal"/>
    <w:next w:val="Normal"/>
    <w:qFormat/>
    <w:rsid w:val="007A32F0"/>
    <w:pPr>
      <w:spacing w:before="240" w:after="60"/>
      <w:outlineLvl w:val="4"/>
    </w:pPr>
    <w:rPr>
      <w:b/>
      <w:bCs/>
      <w:i/>
      <w:iCs/>
      <w:sz w:val="26"/>
      <w:szCs w:val="26"/>
    </w:rPr>
  </w:style>
  <w:style w:type="paragraph" w:styleId="Ttulo7">
    <w:name w:val="heading 7"/>
    <w:basedOn w:val="Normal"/>
    <w:next w:val="Normal"/>
    <w:qFormat/>
    <w:rsid w:val="00796D94"/>
    <w:pPr>
      <w:spacing w:before="240" w:after="60"/>
      <w:outlineLvl w:val="6"/>
    </w:pPr>
  </w:style>
  <w:style w:type="paragraph" w:styleId="Ttulo8">
    <w:name w:val="heading 8"/>
    <w:basedOn w:val="Normal"/>
    <w:next w:val="Normal"/>
    <w:qFormat/>
    <w:rsid w:val="007A32F0"/>
    <w:pPr>
      <w:spacing w:before="240" w:after="60"/>
      <w:outlineLvl w:val="7"/>
    </w:pPr>
    <w:rPr>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bsatz-Standardschriftart">
    <w:name w:val="Absatz-Standardschriftart"/>
    <w:qFormat/>
  </w:style>
  <w:style w:type="character" w:customStyle="1" w:styleId="WW-Absatz-Standardschriftart">
    <w:name w:val="WW-Absatz-Standardschriftart"/>
    <w:qFormat/>
  </w:style>
  <w:style w:type="character" w:customStyle="1" w:styleId="WW-Absatz-Standardschriftart1">
    <w:name w:val="WW-Absatz-Standardschriftart1"/>
    <w:qFormat/>
  </w:style>
  <w:style w:type="character" w:customStyle="1" w:styleId="Fuentedeprrafopredeter2">
    <w:name w:val="Fuente de párrafo predeter.2"/>
    <w:qFormat/>
  </w:style>
  <w:style w:type="character" w:customStyle="1" w:styleId="WW-Absatz-Standardschriftart11">
    <w:name w:val="WW-Absatz-Standardschriftart11"/>
    <w:qFormat/>
  </w:style>
  <w:style w:type="character" w:customStyle="1" w:styleId="Fuentedeprrafopredeter1">
    <w:name w:val="Fuente de párrafo predeter.1"/>
    <w:qFormat/>
  </w:style>
  <w:style w:type="character" w:customStyle="1" w:styleId="EnlacedeInternet">
    <w:name w:val="Enlace de Internet"/>
    <w:basedOn w:val="Fuentedeprrafopredeter1"/>
    <w:rPr>
      <w:color w:val="0000FF"/>
      <w:u w:val="single"/>
    </w:rPr>
  </w:style>
  <w:style w:type="character" w:customStyle="1" w:styleId="EnlacedeInternetvisitado">
    <w:name w:val="Enlace de Internet visitado"/>
    <w:basedOn w:val="Fuentedeprrafopredeter"/>
    <w:rsid w:val="00FA2A17"/>
    <w:rPr>
      <w:color w:val="954F72" w:themeColor="followedHyperlink"/>
      <w:u w:val="single"/>
    </w:rPr>
  </w:style>
  <w:style w:type="character" w:customStyle="1" w:styleId="Mencinsinresolver1">
    <w:name w:val="Mención sin resolver1"/>
    <w:basedOn w:val="Fuentedeprrafopredeter"/>
    <w:uiPriority w:val="99"/>
    <w:semiHidden/>
    <w:unhideWhenUsed/>
    <w:qFormat/>
    <w:rsid w:val="00ED0630"/>
    <w:rPr>
      <w:color w:val="605E5C"/>
      <w:shd w:val="clear" w:color="auto" w:fill="E1DFDD"/>
    </w:rPr>
  </w:style>
  <w:style w:type="paragraph" w:styleId="Ttulo">
    <w:name w:val="Title"/>
    <w:basedOn w:val="Normal"/>
    <w:next w:val="Subttulo"/>
    <w:qFormat/>
    <w:pPr>
      <w:tabs>
        <w:tab w:val="center" w:pos="4680"/>
      </w:tabs>
      <w:jc w:val="center"/>
    </w:pPr>
    <w:rPr>
      <w:b/>
      <w:spacing w:val="-3"/>
      <w:u w:val="single"/>
    </w:rPr>
  </w:style>
  <w:style w:type="paragraph" w:styleId="Textoindependiente">
    <w:name w:val="Body Text"/>
    <w:basedOn w:val="Normal"/>
    <w:pPr>
      <w:spacing w:after="120"/>
    </w:pPr>
  </w:style>
  <w:style w:type="paragraph" w:styleId="Lista">
    <w:name w:val="List"/>
    <w:basedOn w:val="Textoindependiente"/>
    <w:rPr>
      <w:rFonts w:cs="Tahoma"/>
    </w:rPr>
  </w:style>
  <w:style w:type="paragraph" w:styleId="Descripcin">
    <w:name w:val="caption"/>
    <w:basedOn w:val="Normal"/>
    <w:qFormat/>
    <w:pPr>
      <w:suppressLineNumbers/>
      <w:spacing w:before="120" w:after="120"/>
    </w:pPr>
    <w:rPr>
      <w:rFonts w:cs="Lucida Sans"/>
      <w:i/>
      <w:iCs/>
    </w:rPr>
  </w:style>
  <w:style w:type="paragraph" w:customStyle="1" w:styleId="ndice">
    <w:name w:val="Índice"/>
    <w:basedOn w:val="Normal"/>
    <w:qFormat/>
    <w:pPr>
      <w:suppressLineNumbers/>
    </w:pPr>
    <w:rPr>
      <w:rFonts w:cs="Tahoma"/>
    </w:rPr>
  </w:style>
  <w:style w:type="paragraph" w:customStyle="1" w:styleId="Encabezado2">
    <w:name w:val="Encabezado2"/>
    <w:basedOn w:val="Normal"/>
    <w:next w:val="Textoindependiente"/>
    <w:qFormat/>
    <w:pPr>
      <w:keepNext/>
      <w:spacing w:before="240" w:after="120"/>
    </w:pPr>
    <w:rPr>
      <w:rFonts w:ascii="Arial" w:hAnsi="Arial" w:cs="Tahoma"/>
      <w:sz w:val="28"/>
      <w:szCs w:val="28"/>
    </w:rPr>
  </w:style>
  <w:style w:type="paragraph" w:customStyle="1" w:styleId="Etiqueta">
    <w:name w:val="Etiqueta"/>
    <w:basedOn w:val="Normal"/>
    <w:qFormat/>
    <w:pPr>
      <w:suppressLineNumbers/>
      <w:spacing w:before="120" w:after="120"/>
    </w:pPr>
    <w:rPr>
      <w:rFonts w:cs="Tahoma"/>
      <w:i/>
      <w:iCs/>
    </w:rPr>
  </w:style>
  <w:style w:type="paragraph" w:customStyle="1" w:styleId="Encabezado1">
    <w:name w:val="Encabezado1"/>
    <w:basedOn w:val="Normal"/>
    <w:next w:val="Textoindependiente"/>
    <w:qFormat/>
    <w:pPr>
      <w:keepNext/>
      <w:spacing w:before="240" w:after="120"/>
    </w:pPr>
    <w:rPr>
      <w:rFonts w:ascii="Arial" w:hAnsi="Arial" w:cs="Tahoma"/>
      <w:sz w:val="28"/>
      <w:szCs w:val="28"/>
    </w:rPr>
  </w:style>
  <w:style w:type="paragraph" w:styleId="NormalWeb">
    <w:name w:val="Normal (Web)"/>
    <w:basedOn w:val="Normal"/>
    <w:uiPriority w:val="99"/>
    <w:qFormat/>
    <w:pPr>
      <w:spacing w:before="100" w:after="100"/>
    </w:pPr>
  </w:style>
  <w:style w:type="paragraph" w:styleId="Subttulo">
    <w:name w:val="Subtitle"/>
    <w:basedOn w:val="Encabezado1"/>
    <w:next w:val="Textoindependiente"/>
    <w:qFormat/>
    <w:pPr>
      <w:jc w:val="center"/>
    </w:pPr>
    <w:rPr>
      <w:i/>
      <w:iCs/>
    </w:rPr>
  </w:style>
  <w:style w:type="paragraph" w:customStyle="1" w:styleId="Cabeceraypie">
    <w:name w:val="Cabecera y pie"/>
    <w:basedOn w:val="Normal"/>
    <w:qFormat/>
  </w:style>
  <w:style w:type="paragraph" w:styleId="Encabezado">
    <w:name w:val="header"/>
    <w:basedOn w:val="Normal"/>
    <w:pPr>
      <w:suppressLineNumbers/>
      <w:tabs>
        <w:tab w:val="center" w:pos="4986"/>
        <w:tab w:val="right" w:pos="9972"/>
      </w:tabs>
    </w:pPr>
  </w:style>
  <w:style w:type="paragraph" w:customStyle="1" w:styleId="Contenidodelmarco">
    <w:name w:val="Contenido del marco"/>
    <w:basedOn w:val="Textoindependiente"/>
    <w:qFormat/>
  </w:style>
  <w:style w:type="paragraph" w:customStyle="1" w:styleId="Car">
    <w:name w:val="Car"/>
    <w:basedOn w:val="Normal"/>
    <w:semiHidden/>
    <w:qFormat/>
    <w:rsid w:val="00372F0E"/>
    <w:pPr>
      <w:widowControl/>
      <w:suppressAutoHyphens w:val="0"/>
      <w:spacing w:after="160" w:line="240" w:lineRule="exact"/>
    </w:pPr>
    <w:rPr>
      <w:rFonts w:ascii="Verdana" w:eastAsia="Times New Roman" w:hAnsi="Verdana"/>
      <w:kern w:val="0"/>
      <w:sz w:val="20"/>
      <w:szCs w:val="21"/>
      <w:lang w:val="en-AU" w:eastAsia="en-US"/>
    </w:rPr>
  </w:style>
  <w:style w:type="paragraph" w:customStyle="1" w:styleId="Contenidodelatabla">
    <w:name w:val="Contenido de la tabla"/>
    <w:basedOn w:val="Normal"/>
    <w:qFormat/>
    <w:pPr>
      <w:suppressLineNumbers/>
    </w:pPr>
  </w:style>
  <w:style w:type="paragraph" w:customStyle="1" w:styleId="Encabezadodelatabla">
    <w:name w:val="Encabezado de la tabla"/>
    <w:basedOn w:val="Contenidodelatabla"/>
    <w:qFormat/>
    <w:pPr>
      <w:jc w:val="center"/>
    </w:pPr>
    <w:rPr>
      <w:b/>
      <w:bCs/>
    </w:rPr>
  </w:style>
  <w:style w:type="paragraph" w:styleId="Textodeglobo">
    <w:name w:val="Balloon Text"/>
    <w:basedOn w:val="Normal"/>
    <w:semiHidden/>
    <w:qFormat/>
    <w:rsid w:val="00850BDA"/>
    <w:rPr>
      <w:rFonts w:ascii="Tahoma" w:hAnsi="Tahoma" w:cs="Tahoma"/>
      <w:sz w:val="16"/>
      <w:szCs w:val="16"/>
    </w:rPr>
  </w:style>
  <w:style w:type="paragraph" w:customStyle="1" w:styleId="bodytext2">
    <w:name w:val="bodytext2"/>
    <w:basedOn w:val="Normal"/>
    <w:qFormat/>
    <w:rsid w:val="00796D94"/>
    <w:pPr>
      <w:widowControl/>
      <w:suppressAutoHyphens w:val="0"/>
      <w:jc w:val="both"/>
    </w:pPr>
    <w:rPr>
      <w:rFonts w:ascii="Arial" w:eastAsia="Times New Roman" w:hAnsi="Arial" w:cs="Arial"/>
      <w:b/>
      <w:bCs/>
      <w:kern w:val="0"/>
      <w:u w:val="single"/>
      <w:lang w:val="es-ES" w:eastAsia="es-ES"/>
    </w:rPr>
  </w:style>
  <w:style w:type="paragraph" w:customStyle="1" w:styleId="CharChar">
    <w:name w:val="Char Char"/>
    <w:basedOn w:val="Normal"/>
    <w:semiHidden/>
    <w:qFormat/>
    <w:rsid w:val="00654AAF"/>
    <w:pPr>
      <w:widowControl/>
      <w:suppressAutoHyphens w:val="0"/>
      <w:spacing w:after="160" w:line="240" w:lineRule="exact"/>
    </w:pPr>
    <w:rPr>
      <w:rFonts w:ascii="Verdana" w:eastAsia="Times New Roman" w:hAnsi="Verdana"/>
      <w:kern w:val="0"/>
      <w:sz w:val="20"/>
      <w:szCs w:val="21"/>
      <w:lang w:val="en-AU" w:eastAsia="en-US"/>
    </w:rPr>
  </w:style>
  <w:style w:type="paragraph" w:styleId="Piedepgina">
    <w:name w:val="footer"/>
    <w:basedOn w:val="Normal"/>
    <w:rsid w:val="0007249A"/>
    <w:pPr>
      <w:tabs>
        <w:tab w:val="center" w:pos="4252"/>
        <w:tab w:val="right" w:pos="8504"/>
      </w:tabs>
    </w:pPr>
  </w:style>
  <w:style w:type="paragraph" w:customStyle="1" w:styleId="3">
    <w:name w:val="3"/>
    <w:basedOn w:val="Normal"/>
    <w:semiHidden/>
    <w:qFormat/>
    <w:rsid w:val="00005DBB"/>
    <w:pPr>
      <w:widowControl/>
      <w:suppressAutoHyphens w:val="0"/>
      <w:spacing w:after="160" w:line="240" w:lineRule="exact"/>
    </w:pPr>
    <w:rPr>
      <w:rFonts w:ascii="Verdana" w:eastAsia="Times New Roman" w:hAnsi="Verdana"/>
      <w:kern w:val="0"/>
      <w:sz w:val="20"/>
      <w:szCs w:val="21"/>
      <w:lang w:val="en-AU" w:eastAsia="en-US"/>
    </w:rPr>
  </w:style>
  <w:style w:type="paragraph" w:customStyle="1" w:styleId="style3">
    <w:name w:val="style3"/>
    <w:basedOn w:val="Normal"/>
    <w:qFormat/>
    <w:rsid w:val="009E413D"/>
    <w:pPr>
      <w:widowControl/>
      <w:suppressAutoHyphens w:val="0"/>
      <w:spacing w:before="280" w:after="280"/>
    </w:pPr>
    <w:rPr>
      <w:rFonts w:eastAsia="Times New Roman"/>
      <w:b/>
      <w:bCs/>
      <w:color w:val="000000"/>
      <w:kern w:val="0"/>
      <w:lang w:val="es-ES" w:eastAsia="es-ES"/>
    </w:rPr>
  </w:style>
  <w:style w:type="paragraph" w:styleId="Sangradetextonormal">
    <w:name w:val="Body Text Indent"/>
    <w:basedOn w:val="Normal"/>
    <w:rsid w:val="007A32F0"/>
    <w:pPr>
      <w:spacing w:after="120"/>
      <w:ind w:left="283"/>
    </w:pPr>
  </w:style>
  <w:style w:type="paragraph" w:styleId="Textoindependiente2">
    <w:name w:val="Body Text 2"/>
    <w:basedOn w:val="Normal"/>
    <w:qFormat/>
    <w:rsid w:val="007A32F0"/>
    <w:pPr>
      <w:spacing w:after="120" w:line="480" w:lineRule="auto"/>
    </w:pPr>
  </w:style>
  <w:style w:type="paragraph" w:customStyle="1" w:styleId="Textoindependiente21">
    <w:name w:val="Texto independiente 21"/>
    <w:basedOn w:val="Normal"/>
    <w:qFormat/>
    <w:rsid w:val="007A32F0"/>
    <w:pPr>
      <w:widowControl/>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Pr>
      <w:rFonts w:eastAsia="Times New Roman"/>
      <w:spacing w:val="-3"/>
      <w:kern w:val="0"/>
      <w:szCs w:val="20"/>
      <w:lang w:eastAsia="es-ES"/>
    </w:rPr>
  </w:style>
  <w:style w:type="paragraph" w:styleId="Textonotapie">
    <w:name w:val="footnote text"/>
    <w:basedOn w:val="Normal"/>
    <w:rsid w:val="007A32F0"/>
    <w:pPr>
      <w:widowControl/>
      <w:suppressAutoHyphens w:val="0"/>
    </w:pPr>
    <w:rPr>
      <w:rFonts w:eastAsia="Times New Roman"/>
      <w:kern w:val="0"/>
      <w:sz w:val="20"/>
      <w:szCs w:val="20"/>
      <w:lang w:val="es-ES" w:eastAsia="es-ES"/>
    </w:rPr>
  </w:style>
  <w:style w:type="paragraph" w:customStyle="1" w:styleId="framecontents">
    <w:name w:val="framecontents"/>
    <w:basedOn w:val="Normal"/>
    <w:qFormat/>
    <w:rsid w:val="007A32F0"/>
    <w:pPr>
      <w:widowControl/>
      <w:suppressAutoHyphens w:val="0"/>
      <w:jc w:val="both"/>
    </w:pPr>
    <w:rPr>
      <w:rFonts w:ascii="Century Gothic" w:eastAsia="Times New Roman" w:hAnsi="Century Gothic"/>
      <w:kern w:val="0"/>
      <w:lang w:val="es-ES" w:eastAsia="es-ES"/>
    </w:rPr>
  </w:style>
  <w:style w:type="paragraph" w:customStyle="1" w:styleId="xmsonormal">
    <w:name w:val="x_msonormal"/>
    <w:basedOn w:val="Normal"/>
    <w:qFormat/>
    <w:rsid w:val="00ED7A7D"/>
    <w:pPr>
      <w:widowControl/>
      <w:suppressAutoHyphens w:val="0"/>
    </w:pPr>
    <w:rPr>
      <w:rFonts w:ascii="Calibri" w:eastAsia="Calibri" w:hAnsi="Calibri" w:cs="Calibri"/>
      <w:kern w:val="0"/>
      <w:sz w:val="22"/>
      <w:szCs w:val="22"/>
      <w:lang w:val="es-CR"/>
    </w:rPr>
  </w:style>
  <w:style w:type="paragraph" w:styleId="Prrafodelista">
    <w:name w:val="List Paragraph"/>
    <w:basedOn w:val="Normal"/>
    <w:uiPriority w:val="34"/>
    <w:qFormat/>
    <w:rsid w:val="00ED7A7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185</Words>
  <Characters>1023</Characters>
  <Application>Microsoft Office Word</Application>
  <DocSecurity>4</DocSecurity>
  <Lines>8</Lines>
  <Paragraphs>2</Paragraphs>
  <ScaleCrop>false</ScaleCrop>
  <Company>Poder Judicial</Company>
  <LinksUpToDate>false</LinksUpToDate>
  <CharactersWithSpaces>1206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AVISO N° 27-2009</dc:title>
  <dc:subject/>
  <dc:creator>usuario1</dc:creator>
  <dc:description/>
  <cp:lastModifiedBy>Karla Alpizar Salazar</cp:lastModifiedBy>
  <cp:revision>2</cp:revision>
  <cp:lastPrinted>2013-02-08T15:17:00Z</cp:lastPrinted>
  <dcterms:created xsi:type="dcterms:W3CDTF">2024-02-28T16:06:00Z</dcterms:created>
  <dcterms:modified xsi:type="dcterms:W3CDTF">2024-02-28T16:06:00Z</dcterms:modified>
  <dc:language>es-CR</dc:language>
</cp:coreProperties>
</file>